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AM25.001270 vom 15. Juli 2025</w:t>
      </w:r>
    </w:p>
    <w:p>
      <w:r>
        <w:t>VD Tribunal cantonal, 2025-07-15, FR</w:t>
      </w:r>
    </w:p>
    <w:p>
      <w:r>
        <w:rPr>
          <w:b/>
        </w:rPr>
        <w:t xml:space="preserve">Quelle: </w:t>
      </w:r>
      <w:r>
        <w:t>https://mcp.opencaselaw.ch/entscheid/vd_gerichte_AM25.001270</w:t>
      </w:r>
    </w:p>
    <w:p>
      <w:r>
        <w:t>FR: VD_GERICHTE AM25.001270 du 15 juillet 2025</w:t>
      </w:r>
    </w:p>
    <w:p>
      <w:r>
        <w:t>IT: VD_GERICHTE AM25.001270 del 15 luglio 2025</w:t>
      </w:r>
    </w:p>
    <w:p>
      <w:pPr>
        <w:pStyle w:val="Heading2"/>
      </w:pPr>
      <w:r>
        <w:t>Erwägungen</w:t>
      </w:r>
    </w:p>
    <w:p>
      <w:r>
        <w:rPr>
          <w:b/>
        </w:rPr>
        <w:t>E. 1.1.1</w:t>
      </w:r>
    </w:p>
    <w:p>
      <w:r>
        <w:t>Une décision de refus ou de refus partiel de l'assistance judiciaire peut faire l'objet d'un recours aux conditions des art. 393 ss CPP (Harari/Corminboeuf Harari, in : Jeanneret et al. [éd.], Commentaire romand, Code de procédure pénale suisse, 2e éd., Bâle 2019, n. 16 ad art. 136 CPP ; CREP 14 mai 2025/359 consid. 1.1 et l’arrêt cité).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w:t>
      </w:r>
    </w:p>
    <w:p>
      <w:r>
        <w:t>- 4 -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citées).</w:t>
      </w:r>
    </w:p>
    <w:p>
      <w:r>
        <w:rPr>
          <w:b/>
        </w:rPr>
        <w:t>E. 1.2</w:t>
      </w:r>
    </w:p>
    <w:p>
      <w:r>
        <w:t>En l’espèce, on ignore quand la décision litigieuse a été communiquée au recourant, respectivement quand elle est parvenue dans sa sphère d’influence, la date de sa réception – tout comme celle de son envoi – étant impossible à établir. Dans la mesure où il appartient à l’autorité de supporter les conséquences de l’absence de preuve de la notification lorsqu’elle communique une ordonnance par pli simple, il sied de considérer que le recours a été déposé en temps utile. Pour le surplus, interjeté devant l’autorité compétente par le prévenu qui a qualité pour recourir (art. 382 al. 1 CPP), le recours est recevable, sous réserve de ce qui sera exposé ci-après (cf. consid. 2).</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w:t>
      </w:r>
    </w:p>
    <w:p>
      <w:r>
        <w:t>- 5 -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22 mars 2025/206 consid. 2.1).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précité ; TF 7B_51/2024 du 25 avril 2024 consid. 2.2.2 ; TF 6B_1447/2022 du 14 mars 2023 consid. 1.1). La jurisprudence fédérale précise que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w:t>
      </w:r>
    </w:p>
    <w:p>
      <w:r>
        <w:rPr>
          <w:b/>
        </w:rPr>
        <w:t>E. 2.2</w:t>
      </w:r>
    </w:p>
    <w:p>
      <w:r>
        <w:t>- 6 -</w:t>
      </w:r>
    </w:p>
    <w:p>
      <w:r>
        <w:rPr>
          <w:b/>
        </w:rPr>
        <w:t>E. 2.2.1</w:t>
      </w:r>
    </w:p>
    <w:p>
      <w:r>
        <w:t>Le recourant réclame une restitution de délai, « dans la mesure où il n’a pas été en mesure de produire au Ministère Public à temps les documents justifiant de l’inexactitude des propos du Ministère public ». Dès lors que le Ministère public ne lui a pas imparti de délai pour ce faire (cf. art. 94 al. 1 CPP) – et qu’il appartenait d’ailleurs au recourant de prouver les faits permettant de constater qu’il remplit les conditions d’octroi de la défense d’office (TF 6B_1139/2023 du 18 octobre 2023 consid. 3) – la critique est sans objet et, partant, irrecevable, étant au demeurant relevé que la requête de restitution de délai doit être adressée à l’autorité auprès de laquelle l’acte de procédure aurait dû être accompli, soit en l’occurrence le Ministère public (cf. art. 94 al. 2 CPP), et non l’autorité de recours. Par ailleurs, quand, au gré de son écriture, le recourant dénonce ici ou là le fait que le Ministère public ne l’aurait pas invité à se déterminer avant de rendre sa décision, il perd de vue que le droit d’être entendu ne va pas jusqu’à exiger de l’autorité qu’elle communique à l’intéressé un projet de décision de manière à lui permettre de se déterminer avant de rendre formellement son ordonnance. Le grief est donc irrecevable.</w:t>
      </w:r>
    </w:p>
    <w:p>
      <w:r>
        <w:rPr>
          <w:b/>
        </w:rPr>
        <w:t>E. 2.2.2</w:t>
      </w:r>
    </w:p>
    <w:p>
      <w:r>
        <w:t>Le recourant consacre plusieurs pages (pp. 9 à 13 du recours) à la critique de l’ordonnance pénale à laquelle il a fait opposition. Ses critiques sont exorbitantes de l’objet de la présente procédure de recours, qui est circonscrit par la décision du Ministère public refusant de lui désigner un défenseur d’office. Il s’ensuit qu’elles sont irrecevables.</w:t>
      </w:r>
    </w:p>
    <w:p>
      <w:r>
        <w:rPr>
          <w:b/>
        </w:rPr>
        <w:t>E. 2.2.3</w:t>
      </w:r>
    </w:p>
    <w:p>
      <w:r>
        <w:t>Le recourant conteste le constat selon lequel il ne se trouverait pas dans un cas de défense obligatoire (p. 14 du recours), mais n’explique pas en quoi l’un des cas prévus à l’art. 130 CPP serait réalisé en l’espèce, sauf à évoquer longuement le cas de l’art. 130 let. e CPP, mais en vain, puisqu’on ne sache pas qu’il ait jamais été question, en l’espèce, de mettre en œuvre une procédure simplifiée. On croit aussi comprendre que, dans une autre procédure, il serait dans un cas de défense obligatoire, mais le recourant n’explique pas pourquoi il devrait en aller de même dans la procédure qui nous occupe. Incompréhensible, le grief est irrecevable.</w:t>
      </w:r>
    </w:p>
    <w:p>
      <w:r>
        <w:t>- 7 -</w:t>
      </w:r>
    </w:p>
    <w:p>
      <w:r>
        <w:rPr>
          <w:b/>
        </w:rPr>
        <w:t>E. 2.2.4</w:t>
      </w:r>
    </w:p>
    <w:p>
      <w:r>
        <w:t>Le recourant se plaint, ci et là, de ce que sa demande de recevoir une copie du dossier n’aurait pas reçu de réponse. Ici encore, le grief est exorbitant du cadre de la présente procédure de recours et donc irrecevable, étant entendu que le Procureur, du fait du recours, n’a pas encore eu à se prononcer sur la requête présentée par le recourant dans l’opposition à l’ordonnance pénale qu’il a formée.</w:t>
      </w:r>
    </w:p>
    <w:p>
      <w:r>
        <w:rPr>
          <w:b/>
        </w:rPr>
        <w:t>E. 2.2.5</w:t>
      </w:r>
    </w:p>
    <w:p>
      <w:r>
        <w:t>Enfin, le recourant ne consacre que quelques lignes au véritable motif qui sous-tend la décision querellée, pour dire qu’« il n’en demeure pas moins que la présente cause pose des questions qui ne sont pas dénuées de complexité » (pp. 26 et 27 du recours). Ce faisant, il ne dit pas quelles seraient les difficultés factuelles ou juridiques que recèlerait sa cause. Insuffisamment motivée, la critique est irrecevable. Quoi qu’il en soit, on ne discerne pas la moindre complexité dans les faits qu’il est soupçonné d’avoir commis, ni d’ailleurs pour ce qui concerne leur qualification juridique.</w:t>
      </w:r>
    </w:p>
    <w:p>
      <w:r>
        <w:rPr>
          <w:b/>
        </w:rPr>
        <w:t>E. 2.3</w:t>
      </w:r>
    </w:p>
    <w:p>
      <w:r>
        <w:t>Compte tenu des éléments qui précèdent, l’acte de recours ne remplit pas les exigences de motivation déduites de l’art. 385 al. 1 CPP par le Tribunal fédéral, sans que ce constat ne relève d’un formalisme excessif.</w:t>
      </w:r>
    </w:p>
    <w:p>
      <w:r>
        <w:rPr>
          <w:b/>
        </w:rPr>
        <w:t>E. 3</w:t>
      </w:r>
    </w:p>
    <w:p>
      <w:r>
        <w:t>En définitive, le recours doit être déclaré irrecevable, sans échange d’écritures (art. 390 al. 2 CPP). Vu le sort du recours, les frais de la procédure, constitués en l’espèce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irrecevable. II. Les frais d’arrêt, par 770 fr. (sept cent septante francs), sont mis à la charge de X.________. III. L’arrêt est exécutoire. Le président : La greffière : Du Le présent arrêt,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