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AM24.025293 vom 26. März 2025</w:t>
      </w:r>
    </w:p>
    <w:p>
      <w:r>
        <w:t>VD Tribunal cantonal, 2025-03-26, FR</w:t>
      </w:r>
    </w:p>
    <w:p>
      <w:r>
        <w:rPr>
          <w:b/>
        </w:rPr>
        <w:t xml:space="preserve">Quelle: </w:t>
      </w:r>
      <w:r>
        <w:t>https://mcp.opencaselaw.ch/entscheid/vd_gerichte_AM24.025293</w:t>
      </w:r>
    </w:p>
    <w:p>
      <w:r>
        <w:t>FR: VD_GERICHTE AM24.025293 du 26 mars 2025</w:t>
      </w:r>
    </w:p>
    <w:p>
      <w:r>
        <w:t>IT: VD_GERICHTE AM24.025293 del 26 marzo 2025</w:t>
      </w:r>
    </w:p>
    <w:p>
      <w:pPr>
        <w:pStyle w:val="Heading2"/>
      </w:pPr>
      <w:r>
        <w:t>Erwägungen</w:t>
      </w:r>
    </w:p>
    <w:p>
      <w:r>
        <w:rPr>
          <w:b/>
        </w:rPr>
        <w:t>E. 1.1</w:t>
      </w:r>
    </w:p>
    <w:p>
      <w:r>
        <w:t>Selon l’art. 59 al. 1 let. b CPP (Code de procédure pénale suisse du 5 octobre 2007 ;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t>- 3 -</w:t>
      </w:r>
    </w:p>
    <w:p>
      <w:r>
        <w:rPr>
          <w:b/>
        </w:rPr>
        <w:t>E. 1.2</w:t>
      </w:r>
    </w:p>
    <w:p>
      <w:r>
        <w:t>En l’espèce, la Chambre de céans est compétente pour statuer sur la demande de récusation formée par A.________, dès lors qu’elle est dirigée contre des magistrates du Ministère public.</w:t>
      </w:r>
    </w:p>
    <w:p>
      <w:r>
        <w:rPr>
          <w:b/>
        </w:rPr>
        <w:t>E. 2.1</w:t>
      </w:r>
    </w:p>
    <w:p>
      <w:r>
        <w:t>A l’appui de sa demande de récusation, A.________ explique qu’il a requis un certain nombre de documents auprès de la Police cantonale, que celle-ci n’a pas donné suite à sa requête au motif qu’elle attendait un avis de droit de la part du magistrat de service, et qu’elle a finalement écrit à son défenseur, le 13 novembre 2024, que la Procureure N.________ se chargerait de lui répondre. Or, jusqu’à la reddition de l’ordonnance pénale du 13 février 2025, le requérant n’aurait eu aucune nouvelle du Ministère public, aucun moyen de faire entendre sa version, aucune indication du numéro de dossier et aucune possibilité de consulter celui-ci. En outre, il semblait qu’une instruction avait été ouverte et qu’un changement de magistrat avait eu lieu sans qu’il en connût les raisons. A.________ en conclut que son droit d’être entendu a été violé et que ces circonstances traduisent une apparence de prévention. Dans leurs déterminations du 27 février 2025, les Procureures P.________ et N.________ ont indiqué que la demande de récusation était imprécise et infondée. Une simple consultation du dossier aurait permis au requérant d’accéder aux documents et aux autres renseignements contenus dans le rapport de police et ses annexes. L’absence de « nouvelles » de la police ou de la magistrate de permanence avisée, soit N.________, ne constituait pas un indice de prévention, pas plus que l’attribution du dossier à la Procureure P.________, en charge des affaires de circulation routière, ou la notification immédiate d’une ordonnance pénale. Dans son écriture du 11 mars 2025, le requérant a réitéré que son droit d’être entendu avait été violé, soutenant en substance qu’il avait été condamné sans avoir pu se défendre (absence de communication, de consultation du dossier, d’audition et de suite aux mesures d’instruction</w:t>
      </w:r>
    </w:p>
    <w:p>
      <w:r>
        <w:t>- 4 - requises), et a ajouté qu’une violation des droits d’une partie pouvait manifester un préjugé à l’encontre de celle-ci selon l’art. 56 let. f CPP.</w:t>
      </w:r>
    </w:p>
    <w:p>
      <w:r>
        <w:rPr>
          <w:b/>
        </w:rPr>
        <w:t>E. 2.2</w:t>
      </w:r>
    </w:p>
    <w:p>
      <w:r>
        <w:t>Aux termes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148 IV 137 consid. 2.2 ; ATF 144 I 234 consid. 5.2 ; ATF 143 IV 69 consid. 3.2 ; TF 7B_34/2024 du 3 avril 2024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7B_598/2024, 7B_600/2024 et 7B_752/2024 du 5 novembre 2024 consid. 6.2.1 ; TF 7B_936/2023 du 26 avril 2024 consid. 2.2.1 et les références citées).</w:t>
      </w:r>
    </w:p>
    <w:p>
      <w:r>
        <w:t>- 5 - 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et les arrêts cités ; TF 7B_450/2024 précité ; TF 7B_936/2023 précité).</w:t>
      </w:r>
    </w:p>
    <w:p>
      <w:r>
        <w:rPr>
          <w:b/>
        </w:rPr>
        <w:t>E. 2.3</w:t>
      </w:r>
    </w:p>
    <w:p>
      <w:r>
        <w:t>En l’espèce, le requérant n’invoque aucun élément permettant de retenir une apparence de prévention de la part des Procureures P.________ et N.________. Il se plaint d’une violation de son droit d’être entendu. Il convient cependant de rappeler que la procédure de l’ordonnance pénale est une procédure sommaire. Contrairement à la procédure ordinaire, elle n’implique notamment pas que le Ministère public rende un avis de prochaine clôture. Par conséquent, les parties n’ont pas à être informées par le Ministère public de la notification prochaine d’une ordonnance pénale (Gilliéron/Killias in : Jeanneret et al. [éd.], Commentaire romand, Code de procédure pénale suisse, 2e éd., Bâle 2019, n. 8 ad art. 352 CPP et les réf. cit.). Le Tribunal fédéral a décidé que le fait qu’un prévenu n’ait pas pu avoir connaissance de son dossier avant l’établissement de l’ordonnance pénale ou n’ait pas pu être entendu par le Ministère public ne violait pas son droit d’être entendu dans la mesure où il pouvait sur simple opposition provoquer l’ouverture d’une procédure respectant les droits consacrés par la Constitution fédérale et la CEDH (Gilliéron/Killias, op. cit., n. 18 ad art. 352 CPP et les réf. cit.). La loi ne</w:t>
      </w:r>
    </w:p>
    <w:p>
      <w:r>
        <w:t>- 6 - prévoit l’obligation d’entendre le prévenu que s’il est probable que l’ordonnance pénale débouchera sur une peine privative de liberté à exécuter (art. 352a CPP entré en vigueur le 1er janvier 2024 ; voir également le Message du Conseil fédéral concernant la modification du code de procédure pénale du 28 août 2019, FF 2019 pp. 6351 ss, spéc. 6370). Enfin, comme mentionné ci-dessus, la procédure de récusation n'a pas pour objet de permettre aux parties de contester la manière dont est menée l'instruction. En définitive, les griefs du requérant sont clairement insuffisants pour fonder une demande de récusation.</w:t>
      </w:r>
    </w:p>
    <w:p>
      <w:r>
        <w:rPr>
          <w:b/>
        </w:rPr>
        <w:t>E. 3</w:t>
      </w:r>
    </w:p>
    <w:p>
      <w:r>
        <w:t>Il résulte de ce qui précède que la demande de récusation déposée par A.________ doit être rejetée. Les frais de la présente procédure, constitués en l’espèce du seul émolument de décision, par 660 fr. (art. 20 al. 1 TFIP [tarif des frais de procédure et indemnités en matière pénale du 28 septembre 2010 ; BLV 312.03.1], par renvoi de l’art. 22 TFIP), seront mis à la charge de A.________ qui succombe (art. 59 al. 4 CPP). Par ces motifs, la Chambre des recours pénale prononce : I. La demande de récusation est rejetée. II. Les frais de décision, par 660 fr. (six cent soixante francs), sont mis à la charge de A.________. III. La décision est exécutoire. Le président : La greffière :</w:t>
      </w:r>
    </w:p>
    <w:p>
      <w:r>
        <w:t>- 7 - Du La présente décision, dont la rédaction a été approuvée à huis clos, est notifiée, par l'envoi d'une copie complète, à : - Me Alessandro Brenci, avocat (pour A.________), - Ministère public central, et communiquée à : - Mmes P.________ et N.________, procureures du Ministère public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