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AM24.024503 vom 26. Juni 2025</w:t>
      </w:r>
    </w:p>
    <w:p>
      <w:r>
        <w:t>VD Tribunal cantonal, 2025-06-26, FR</w:t>
      </w:r>
    </w:p>
    <w:p>
      <w:r>
        <w:rPr>
          <w:b/>
        </w:rPr>
        <w:t xml:space="preserve">Quelle: </w:t>
      </w:r>
      <w:r>
        <w:t>https://mcp.opencaselaw.ch/entscheid/vd_gerichte_AM24.024503</w:t>
      </w:r>
    </w:p>
    <w:p>
      <w:r>
        <w:t>FR: VD_GERICHTE AM24.024503 du 26 juin 2025</w:t>
      </w:r>
    </w:p>
    <w:p>
      <w:r>
        <w:t>IT: VD_GERICHTE AM24.024503 del 26 giugno 2025</w:t>
      </w:r>
    </w:p>
    <w:p>
      <w:pPr>
        <w:pStyle w:val="Heading2"/>
      </w:pPr>
      <w:r>
        <w:t>Erwägungen</w:t>
      </w:r>
    </w:p>
    <w:p>
      <w:r>
        <w:rPr>
          <w:b/>
        </w:rPr>
        <w:t>E. 8</w:t>
      </w:r>
    </w:p>
    <w:p>
      <w:r>
        <w:t>novembre 2017 consid. 2.3.1). L’entrée en force de l’ordonnance pénale équivaut à un jugement définitif et exécutoire, conformément à l’art. 354 al. 3 CPP (Moreillon/Parein-Reymond, Petit Commentaire, Code de procédure pénale, 2e éd., Bâle 2016, n. 5 ad art. 437 CPP). 1.2 En l’espèce, le requérant a fait opposition à l'ordonnance pénale le 20 février 2025, puis a déposé un recours contre le prononcé le 21 mars 2025, tout en demandant en parallèle la révision de l’ordonnance pénale le 14 avril 2025. En outre, l’arrêt de la Chambre des recours pénale du 21 mai 2025 qui rejette le recours formé par le prévenu contre le</w:t>
      </w:r>
    </w:p>
    <w:p>
      <w:r>
        <w:t>- 4 - prononcé a été envoyé pour notification le 16 juin 2025, ce qui signifie que l’ordonnance pénale n’est pas entrée en force puisque le délai de 30 jours pour déposer un recours auprès du Tribunal fédéral n’est pas encore échu. Par conséquent, ne se dirigeant pas contre une ordonnance pénale dont l’entrée en force équivaut à un jugement définitif et exécutoire (art. 354 al. 3 CPP a contrario), la demande de révision est irrecevable pour ce motif déjà. 2. 2.1 De toute manière, même si l’ordonnance pénale était définitive et exécutoire, la demande de révision serait irrecevable pour les motifs qui suivent. 2.2 La demande de révision d’Y.________, adressée par erreur à la Chambre des recours pénale, a été transmise à la Cour d’appel pénale, autorité compétente pour statuer sur ce type de procédure (art. 411 al. 1 CPP). 2.3 Selon l’art. 410 al. 1 let. a CPP,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Aux termes de l’art. 411 CPP, les demandes de révision doivent être motivées et adressées par écrit à la juridiction d’appel. Les motifs de révision doivent être exposés et justifiés dans la demande (al. 1). La demande de révision visée à l'art. 410 al. 1 let. a CPP n'est soumise à aucun délai (al. 2, 2e phrase). La procédure du rescindant instituée par le CPP se déroule en principe en deux phases, à savoir un examen préalable de la recevabilité (art. 412 al. 1 et 2 CPP) et un examen des motifs invoqués (art. 412 al. 3</w:t>
      </w:r>
    </w:p>
    <w:p>
      <w:r>
        <w:t>- 5 - et 4 et 413 CPP). Il s'agit de deux étapes d'une seule et même procédure, pour laquelle la juridiction d'appel est compétente (art. 412 al. 1 et 3 CPP). 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L'art. 410 al. 1 let. a CPP reprend la double exigence posée à l'art. 385 CP (Code de procédure pénale suisse du 5 octobre 2007 ; RS 312.0)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w:t>
      </w:r>
    </w:p>
    <w:p>
      <w:r>
        <w:t>- 6 -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 TF 6B_662/2019 du 23 août 2019 consid. 1.1 ; TF 6B_1261/2018 du 19 mars 2019 consid. 2.2). 2.4 Le requérant soutient que le véhicule Tesla était assuré en responsabilité civile depuis le 16 avril 2024. Il produit à cet effet le courriel du 28 août 2024 et l’extrait informatique de l’assurance Axa qu’il avait</w:t>
      </w:r>
    </w:p>
    <w:p>
      <w:r>
        <w:t>- 7 - envoyés au policier en charge de l’enquête. Dans ces conditions, il considère que son véhicule était bien couvert lorsque l’infraction a eu lieu le 4 mai 2024, de sorte que la condamnation prononcée à son encontre pour laisser conduire sans assurance-responsabilité civile routière ne se justifie pas. Les deux pièces produites par le requérant figurent dans le rapport du 12 novembre 2024 que la police cantonale vaudoise a transmis au Ministère public (P. 4) et que ce dernier a réceptionné le 15 novembre 2024. Il ne s’agit donc pas de faits nouveaux dont l’autorité pénale n’avait pas connaissance lorsqu’elle a rendu l’ordonnance pénale du 28 janvier 2025. Le requérant n’invoque en outre pas d’autres arguments propres à fonder une demande de révision. Celle-ci est manifestement dépourvue de fondement et doit être par conséquent déclarée irrecevable pour ce motif également. 3. Vu l’issue de la cause, les frais de la procédure de révision, par 660 fr. (art. 21 al. 1 TFIP [tarif des frais de procédure et indemnités en matière pénale du 28 septembre 2010 ; BLV 312.03.1] par renvoi de l’art. 22 TFIP),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