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AM24.017626 vom 1. Oktober 2024</w:t>
      </w:r>
    </w:p>
    <w:p>
      <w:r>
        <w:t>VD Tribunal cantonal, 2024-10-01, FR</w:t>
      </w:r>
    </w:p>
    <w:p>
      <w:r>
        <w:rPr>
          <w:b/>
        </w:rPr>
        <w:t xml:space="preserve">Quelle: </w:t>
      </w:r>
      <w:r>
        <w:t>https://mcp.opencaselaw.ch/entscheid/vd_gerichte_AM24.017626</w:t>
      </w:r>
    </w:p>
    <w:p>
      <w:r>
        <w:t>FR: VD_GERICHTE AM24.017626 du 1 octobre 2024</w:t>
      </w:r>
    </w:p>
    <w:p>
      <w:r>
        <w:t>IT: VD_GERICHTE AM24.017626 del 1 ottobre 2024</w:t>
      </w:r>
    </w:p>
    <w:p>
      <w:pPr>
        <w:pStyle w:val="Heading2"/>
      </w:pPr>
      <w:r>
        <w:t>Erwägungen</w:t>
      </w:r>
    </w:p>
    <w:p>
      <w:r>
        <w:rPr>
          <w:b/>
        </w:rPr>
        <w:t>E. 27</w:t>
      </w:r>
    </w:p>
    <w:p>
      <w:r>
        <w:t>juin 2019 consid. 3).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 Les conditions d’une révision visant une ordonnance pénale sont particulièrement restrictives. En effet, l’ordonnance pénale est rendue dans le cadre d’une procédure spéciale (art. 352 ss CPP), qui a pour particularité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w:t>
      </w:r>
    </w:p>
    <w:p>
      <w:r>
        <w:t>- 5 -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 TF 6B_662/2019 du 23 août 2019 consid. 1.1 ; TF 6B_1261/2018 du 19 mars 2019 consid. 2.2). 2. 2.1 En l’espèce, la requérante a produit une copie de l’ordonnance du Ministère public du canton de Fribourg du 20 septembre 2024 selon laquelle il n’était pas entré en matière sur la dénonciation à l’encontre de C.________ pour avoir circulé au guidon du scooter de sa mère le 21 juillet 2024 sans être au bénéfice du permis de conduire requis, dès lors que, selon les informations transmises le 16 août 2024 par le Service des automobiles et de la navigation du canton de Vaud, C.________ était titulaire du permis de conduire de la catégorie A1 lors du contrôle (P. 7/1). Elle a également produit une copie de la lettre du Service des automobiles et de la navigation du canton de Vaud du 28 octobre 2024 adressée à C.________, indiquant ce qui suit : « A la suite d’un contrôle de votre dossier, nous avons constaté que votre permis de conduire contient malheureusement une erreur imputable à notre service » (P. 7/3). Dès lors qu’il s’agit d’éléments inconnus de l’autorité inférieure et susceptibles de libérer la requérante de l’infraction à l’art. 95 al. 1 let. e LCR (loi fédérale sur la circulation routière du 19 décembre 1958 ; RS 741.01), la demande de révision, par ailleurs motivée, est recevable. 2.2 Il convient donc d’examiner si les motifs de révision sont fondés. En l’espèce, en indiquant avoir fait une erreur « imputable à [son] service », on comprend que le Service des automobiles et de la navigation reconnaît avoir délivré à C.________ un permis de la catégorie B</w:t>
      </w:r>
    </w:p>
    <w:p>
      <w:r>
        <w:t>- 6 - au lieu de la catégorie A1. Il s’agit donc d’un fait nouveau et sérieux justifiant la révision de l’ordonnance pénale du 1er octobre 2024. Il ne fait aucun doute qu’au moment du contrôle du 21 juillet 2024, la requérante ignorait que son fils avait reçu, par erreur, un permis de conduire de la mauvaise catégorie. Celle-ci doit par conséquent être libérée de l’infraction de mise à disposition par négligence d’un véhicule automobile à un conducteur non titulaire du permis requis (art. 95 al. 1 let. e et 100 ch. 1 al. 1 LCR) et les frais de l’ordonnance laissés à la charge de l’Etat. 3. Il résulte de ce qui précède que la demande de révision doit être admise et l’ordonnance pénale du 1er octobre 2024 réformée en ce sens que X.________ est libéré du chef d’infraction de mise à disposition par négligence d’un véhicule automobile à un conducteur non titulaire du permis requis (art. 413 al. 2 let. b CPP). Vu l’issue du litige, les frais de la procédure de révision, par 550 fr. (art. 21 al. 1 TFIP [tarif des frais de procédure et indemnités en matière pénale du 28 septembre 2010 ; BLV 312.03.1] par renvoi de l’art. 22 TFIP),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