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AM24.007114 vom 14. April 2025</w:t>
      </w:r>
    </w:p>
    <w:p>
      <w:r>
        <w:t>VD Tribunal cantonal, 2025-04-14, FR</w:t>
      </w:r>
    </w:p>
    <w:p>
      <w:r>
        <w:rPr>
          <w:b/>
        </w:rPr>
        <w:t xml:space="preserve">Quelle: </w:t>
      </w:r>
      <w:r>
        <w:t>https://mcp.opencaselaw.ch/entscheid/vd_gerichte_AM24.007114</w:t>
      </w:r>
    </w:p>
    <w:p>
      <w:r>
        <w:t>FR: VD_GERICHTE AM24.007114 du 14 avril 2025</w:t>
      </w:r>
    </w:p>
    <w:p>
      <w:r>
        <w:t>IT: VD_GERICHTE AM24.007114 del 14 aprile 2025</w:t>
      </w:r>
    </w:p>
    <w:p>
      <w:pPr>
        <w:pStyle w:val="Heading2"/>
      </w:pPr>
      <w:r>
        <w:t>Erwägungen</w:t>
      </w:r>
    </w:p>
    <w:p>
      <w:r>
        <w:rPr>
          <w:b/>
        </w:rPr>
        <w:t>E. 1</w:t>
      </w:r>
    </w:p>
    <w:p>
      <w:r>
        <w:t>A.A.________, d’origine suisse, est née le [...] 1965 à Kiev, en Ukraine. Elle a été élevée par ses parents et est au bénéfice d’une formation de professeure de gymnastique et de physiothérapeute. Elle est arrivée en Suisse en 1992. Elle a une fille, B.A.________, issue de sa précédente union avec [...]. Elle est actuellement mariée avec S.________.</w:t>
      </w:r>
    </w:p>
    <w:p>
      <w:r>
        <w:t>- 7 - Elle travaillait dans une école [...], en tant qu’enseignante de français pour les groupes d’accueil. Actuellement, elle est au chômage et perçoit un revenu mensuel de l’ordre de 3'000 francs. Le revenu mensuel de son mari s’élève à environ 12'000 francs. Ses charges s’élèvent à 1'500 fr. par mois au total, son loyer s’élève à 1'700 fr. par mois et sa prime d’assurance-maladie à 414 francs. Ses autres charges sont ses frais de déplacement, les frais liés à sa voiture et ses impôts. Elle n’a pas de fortune ni de dettes, sous réserve de poursuites à hauteur de 400 francs. Le casier judiciaire d’A.A.________ est vierge. Aucune inscription ne figure par ailleurs au fichier SIAC.</w:t>
      </w:r>
    </w:p>
    <w:p>
      <w:r>
        <w:rPr>
          <w:b/>
        </w:rPr>
        <w:t>E. 2</w:t>
      </w:r>
    </w:p>
    <w:p>
      <w:r>
        <w:t>Aux termes de l’art. 398 CPP, la juridiction d’appel jouit d’un plein pouvoir d’examen sur tous les points attaqués du jugement (al. 2).</w:t>
      </w:r>
    </w:p>
    <w:p>
      <w:r>
        <w:t>- 8 -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Invoquant une appréciation arbitraire des faits, l’appelante conteste avoir su que sa fille faisait l’objet d’un retrait du permis de conduire. Elle plaide la mauvaise entente et la non-communication existant entre elle et sa fille au moment des faits litigieux, mauvaise entente due à son mariage avec S.________ et aux difficultés personnelles importantes de B.A.________, qui était alors sous curatelle volontaire. Si elle n’avait pas mentionné cet élément avant l’audience, c’était parce qu’elle pensait qu’on la croirait quand elle disait qu’elle n’était pas au courant. Par ailleurs, l’opposition formée à l’encontre de l’ordonnance pénale du 30 mai 2024 n’avait pas à être motivée. Tous les éléments au dossier attesteraient la version des faits de l’appelante, à savoir qu’elle n’était en aucun cas informée du fait que sa fille était sous le coup d’un retrait du permis de conduire. Dans tous les cas, sa version des faits serait tout aussi crédible que celle de B.A.________, de sorte qu’au bénéfice du doute, l’appelante devrait être acquittée.</w:t>
      </w:r>
    </w:p>
    <w:p>
      <w:r>
        <w:rPr>
          <w:b/>
        </w:rPr>
        <w:t>E. 3.2</w:t>
      </w:r>
    </w:p>
    <w:p>
      <w:r>
        <w:t>L'art. 10 CPP dispose que toute personne est présumée innocente tant qu'elle n'est pas condamnée par un jugement entré en</w:t>
      </w:r>
    </w:p>
    <w:p>
      <w:r>
        <w:t>- 9 -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148 IV 409 consid. 2.2 ; ATF 145 IV 154 consid. 1.1 ; ATF 144 IV 345 consid. 2.2.3.1 ; TF 6B_101/2024 du 23 septembre 2024 consid. 1.1.2).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précité et les références citées ; TF 6B_101/2024 précité ; TF 6B_575/2024 du 9 septembre 2024 consid. 1.1.1). Dans cette mesure, la présomption d'innocence se confond avec l'interdiction générale de l'arbitraire, prohibant une appréciation reposant sur des preuves inadéquates ou sans pertinence (ATF 148 IV 409 précité ; ATF 146 IV 88 consid. 1.3.1 ; ATF 145 IV 154 précité).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w:t>
      </w:r>
    </w:p>
    <w:p>
      <w:r>
        <w:t>- 10 -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2e éd., Bâle 2019 [ci-après : CR CPP], n. 34 ad art. 10 CPP ; Kistler Vianin, ibid.,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6B_737/2024 du 15 janvier 2025 consid. 2.1 ; TF 6B_820/2024 du 2 décembre 2024 consid. 1.1 ; TF 6B_177/2024 du 26 novembre 2024 consid. 3.1).</w:t>
      </w:r>
    </w:p>
    <w:p>
      <w:r>
        <w:rPr>
          <w:b/>
        </w:rPr>
        <w:t>E. 3.3</w:t>
      </w:r>
    </w:p>
    <w:p>
      <w:r>
        <w:t>La première juge a relevé qu’au moment de son interpellation, B.A.________ avait spontanément dit que sa mère savait qu’elle faisait l’objet d’un retrait du permis de conduire. La prévenue n’avait jamais, en particulier dans son opposition à l’ordonnance de condamnation, évoqué cette prétendue mauvaise entente avec sa fille. Si la relation n’était pas bonne, cela ne l’avait pas empêché de prêter sa voiture à sa fille. B.A.________ était certes revenue sur ses propos aux débats, mais ce revirement n’était pas crédible. S’il est vrai que B.A.________ a spontanément indiqué aux policiers que sa mère était au courant de son retrait du permis de conduire, l’appelante a, quant à elle, toujours contesté ce fait. Or, rien ne permet de trancher entre ces deux versions contradictoires. A cet égard,</w:t>
      </w:r>
    </w:p>
    <w:p>
      <w:r>
        <w:t>- 11 - on relèvera qu’à l’audience d’appel, la prévenue a indiqué que sa fille ne vivait plus avec elle depuis 2022 – les faits litigieux ayant eu lieu le 28 février 2024 –, que celle-ci avait une clé de sa voiture de marque BMW, qu’elle pouvait l’utiliser quand elle le voulait et qu’elle était la principale utilisatrice de cette voiture. Elle a ajouté qu’à l’époque des faits, elle ne voyait plus beaucoup sa fille, dès lors que leurs relations étaient tendues en raison de son mariage avec S.________, et que sa fille avait souhaité prendre son indépendance et qu’elle était alors sous curatelle volontaire. Au vu de l’ensemble de ces éléments, et en particulier du fait que B.A.________ ne vivait plus avec sa mère au moment des faits litigieux et, qu’ayant une clé de la voiture, elle pouvait utiliser celle-ci à sa convenance, sans devoir avertir sa mère ni communiquer avec elle, on ne saurait retenir que la version de l’appelante, qui prétend qu’elle ignorait que sa fille était sous le coup d’un retrait du permis de conduire, n’est pas crédible. Partant, au bénéfice du doute, il y a lieu de libérer l’appelante du chef d’accusation de mise à disposition d’un véhicule automobile à un conducteur sans permis requis au sens de la loi fédérale sur la circulation routière.</w:t>
      </w:r>
    </w:p>
    <w:p>
      <w:r>
        <w:rPr>
          <w:b/>
        </w:rPr>
        <w:t>E. 4</w:t>
      </w:r>
    </w:p>
    <w:p>
      <w:r>
        <w:t>Au vu de son acquittement, il convient de laisser à la charge de l'Etat les frais mis à la charge de l'appelante en première instance.</w:t>
      </w:r>
    </w:p>
    <w:p>
      <w:r>
        <w:rPr>
          <w:b/>
        </w:rPr>
        <w:t>E. 5</w:t>
      </w:r>
    </w:p>
    <w:p>
      <w:r>
        <w:t>En définitive, l’appel d’A.A.________ doit être admis et le jugement attaqué modifié dans le sens des considérants qui précèdent. Vu l’issue de la cause, les frais de la procédure d’appel, constitués en l’espèce de l’émolument de jugement, par 1’280 fr. (art. 20 al. 1 TFIP [tarif des frais de procédure et indemnités en matière pénale du 28 septembre 2010 ; BLV 312.03.1]), seront laissés à la charge de l’Etat.</w:t>
      </w:r>
    </w:p>
    <w:p>
      <w:r>
        <w:t>- 12 - L’appelante, qui a procédé avec un mandataire de choix, a renoncé à réclamer une indemnité au sens de l’art. 429 CPP, de sorte qu’aucune indemnité ne lui sera allouée à ce titre. La Cour d’appel pénale, appliquant les art. 398 ss CPP, prononce : I. L’appel est admis. II. Le jugement rendu le 14 avril 2025 par le Tribunal de police de l’arrondissement de l’Est vaudois est modifié comme il suit, le dispositif étant désormais le suivant : "I. libère A.A.________ du chef d’accusation de mise à disposition d’un véhicule automobile à un conducteur sans permis requis au sens de la loi fédérale sur la circulation routière ; II. supprimé ; III. laisse les frais de la cause, par 600 fr. (six cents francs), à la charge de l’Etat." III. Les frais d'appel, par 1'280 fr., sont laissés à la charge de l’Etat. IV. Le jugement motivé est exécutoire. La présidente : La greffière :</w:t>
      </w:r>
    </w:p>
    <w:p>
      <w:r>
        <w:t>- 13 - Du Le jugement qui précède, dont le dispositif a été communiqué par écrit aux intéressés le 22 octobre 2025, est notifié, par l'envoi d'une copie complète, à : - Me Romain Kramer, avocat (pour A.A.________), - Ministère public central, et communiqué à : - Mme la Présidente du Tribunal de police de l'arrondissement de l’Est vaudois, - Mme la Procureure de l'arrondissement de l’Est vaudois, - Service des automobiles et de la navigation,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