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AM24.001088 vom 26. Juni 2025</w:t>
      </w:r>
    </w:p>
    <w:p>
      <w:r>
        <w:t>VD Tribunal cantonal, 2025-06-26, FR</w:t>
      </w:r>
    </w:p>
    <w:p>
      <w:r>
        <w:rPr>
          <w:b/>
        </w:rPr>
        <w:t xml:space="preserve">Quelle: </w:t>
      </w:r>
      <w:r>
        <w:t>https://mcp.opencaselaw.ch/entscheid/vd_gerichte_AM24.001088</w:t>
      </w:r>
    </w:p>
    <w:p>
      <w:r>
        <w:t>FR: VD_GERICHTE AM24.001088 du 26 juin 2025</w:t>
      </w:r>
    </w:p>
    <w:p>
      <w:r>
        <w:t>IT: VD_GERICHTE AM24.001088 del 26 giugno 2025</w:t>
      </w:r>
    </w:p>
    <w:p>
      <w:pPr>
        <w:pStyle w:val="Heading2"/>
      </w:pPr>
      <w:r>
        <w:t>Erwägungen</w:t>
      </w:r>
    </w:p>
    <w:p>
      <w:r>
        <w:rPr>
          <w:b/>
        </w:rPr>
        <w:t>E. 1</w:t>
      </w:r>
    </w:p>
    <w:p>
      <w:r>
        <w:t>Né le ***1953 à S***, originaire de T***, B.________ a déclaré aux débats de première instance avoir suivi sa scolarité dans le canton de Vaud. Il a ensuite obtenu une licence HEC de l’université de Lausanne et un MBA aux U***, en V***. Il a travaillé les premières années pour divers employeurs et, depuis 1986, il est indépendant. Il a eu diverses sociétés et, actuellement, il est toujours propriétaire de plusieurs sociétés, dont l’une d’entre elles est F.________, à R***. Il exercice une activité à 20 %, toutefois déficitaire. En revanche, il réalise des revenus nets de l’ordre de 25’000 fr. par mois grâce à son patrimoine immobilier. Sa fortune s’élève à quelque 3’500’000 francs. Il est marié depuis 48 ans et a eu deux enfants, adultes et indépendants. Il est propriétaire de son logement et les charges mensuelles s’élèvent à environ 3’000 francs. Il paie des primes d’assurance- maladie de 2’300 fr. par mois, pour son épouse et lui-même, en semi-privé. Il a précisé que sa conjointe ne travaillait pas. Son casier judiciaire est vierge. L’extrait du fichier SIAC le concernant mentionne un avertissement prononcé le 14 octobre 2020, pour vitesse (cas de peu de gravité).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précité consid. 3.2 ; TF 6B_1300/2016 du 5 décembre 2017 consid. 2 non publié aux ATF 143 IV 500). Plus la violation de la règle de la circulation est objectivement grave, plus on admettra l’existence d’une absence de scrupule, sauf indice particulier permettant de retenir le 13J010</w:t>
      </w:r>
    </w:p>
    <w:p>
      <w:r>
        <w:t>- 16 - contraire (ATF 142 IV 93 précité consid. 3.1 ; TF 6B_254/2023 du 12 juillet 2023 consid. 4.2). Dans le domaine des excès de vitesse, la jurisprudence a été amenée à fixer des règles précises afin d’assurer l’égalité de traitement. Ainsi, les éléments objectif – et en principe subjectif – du cas grave au sens de l’art. 90 al. 2 LCR sont réalisés, sans égard aux circonstances concrètes, en cas de dépassement de la vitesse autorisée de 25 km/h ou plus à l’intérieur des localités, de 30 km/h ou plus hors des localités et sur les semi- autoroutes dont les chaussées, dans les deux directions, ne sont pas séparées et de 35 km/h ou plus sur les autoroutes (ATF 143 IV 508 précité consid. 1.3 et les références citées ; TF 6B_734/2023 du 20 octobre 2023 ; TF 6B_254/2023 précité consid. 4.3).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6B_326/2017 du 20 novembre 2017 consid. 1.1 ; TF 6B_3/2014 du 28 avril 2014 consid. 1.1). L’art. 8 al. 1 let. a ch. 1 OOCCR-OFROU stipule qu’en cas de mesure par radar, pour une valeur mesurée inférieure ou égale à 100 km/h, la valeur de 5 km/h doit être déduite de la vitesse mesurée, après que cette dernière a été arrondie au chiffre entier le plus proche. En cas de mesure par laser, la valeur de 3 km/h doit être déduite de la vitesse mesurée (art.</w:t>
      </w:r>
    </w:p>
    <w:p>
      <w:r>
        <w:rPr>
          <w:b/>
        </w:rPr>
        <w:t>E. 3.1.3</w:t>
      </w:r>
    </w:p>
    <w:p>
      <w:r>
        <w:t>; ATF 141 I 60 consid. 3.3 et les références citées).</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13J010</w:t>
      </w:r>
    </w:p>
    <w:p>
      <w:r>
        <w:t>- 9 -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6B_619/2022 du 8 février 2023 consid. 4.1 ; TF 6B_182/2022 du 25 janvier 2023 consid. 1.2 ; TF 6B_82/2022 du 18 janvier 2023 consid. 1.1). Le refus d’instruire ne viole ainsi le droit d’être entendu des parties que si l’appréciation anticipée de la pertinence du moyen de preuve offert, à laquelle le juge a procédé, est entachée d’arbitraire (ATF 144 II 427 consid.</w:t>
      </w:r>
    </w:p>
    <w:p>
      <w:r>
        <w:rPr>
          <w:b/>
        </w:rPr>
        <w:t>E. 3.3</w:t>
      </w:r>
    </w:p>
    <w:p>
      <w:r>
        <w:t>S’agissant tout d’abord de la mise en œuvre d’une inspection locale, l’appelant n’explique pas ce qui devrait être observé sur les lieux de l’infraction et on ne conçoit pas ce qui pourrait être utile, étant relevé que l’infraction reprochée a été commise il y a plus de deux ans. En outre, les photographies demandées concernant d’autres conducteurs contrôlés le jour des faits litigieux n’apporteraient rien d’utile s’agissant d’autres excès de vitesse. Quant à la photographie du véhicule de l’appelant, celle déjà produite au dossier est suffisante pour le jugement de la cause, la police ayant d’ailleurs déjà indiqué avoir produit toutes les photographies en sa possession et ainsi ne pas en avoir d’autres. Enfin, une déclaration écrite du témoin (P. 28/3), dont l’appelant se prévaut dans son acte d’appel, a déjà été produite et, comme on le verra ci-après (cf. infra consid. 6.3), ce témoignage est sans incidence sur le sort de la cause. Au vu de ces éléments, il se justifie de rejeter par appréciation anticipée des preuves les réquisitions de l’appelant.</w:t>
      </w:r>
    </w:p>
    <w:p>
      <w:r>
        <w:rPr>
          <w:b/>
        </w:rPr>
        <w:t>E. 4.1</w:t>
      </w:r>
    </w:p>
    <w:p>
      <w:r>
        <w:t>L’appelant invoque tout d’abord une violation du principe d’accusation, dans la mesure où, selon lui, le tribunal aurait modifié unilatéralement l’accusation en retenant que celui-ci circulait en direction de Lausanne. 13J010</w:t>
      </w:r>
    </w:p>
    <w:p>
      <w:r>
        <w:t>- 10 -</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précité consid. 2.2 ; ATF 141 IV 132 précité consid. 3.4.1 et les réf. cit. ; TF 6B_136/2021 du 6 septembre 2021 consid. 3.3).</w:t>
      </w:r>
    </w:p>
    <w:p>
      <w:r>
        <w:rPr>
          <w:b/>
        </w:rPr>
        <w:t>E. 4.3</w:t>
      </w:r>
    </w:p>
    <w:p>
      <w:r>
        <w:t>En l’espèce, l’ordonnance pénale transformée en acte d’accusation à la suite de l’opposition du prévenu indique le lieu et la date de l’infraction, ainsi que la vitesse nette du véhicule, ce qui est suffisant pour que l’appelant puisse se défendre utilement. Par ailleurs, l’acte d’accusation ne précise pas dans quelle direction circulait l’appelant, de sorte qu’on ignore pour quelle raison il soutient que l’accusation aurait été modifiée par le tribunal. Quoi qu’il en soit, c’est également en vain que l’appelant prétend avoir été surpris dans sa défense par le sens de circulation retenu en définitive par le premier juge, dès lors que, dès sa première audition le 22 décembre 2023 par la police (cf. P. 4, p. 2), il a toujours soutenu avoir circulé de Lutry en direction de Lausanne pour se rendre à son bureau à 13J010</w:t>
      </w:r>
    </w:p>
    <w:p>
      <w:r>
        <w:t>- 11 - Pully et c’est ce qui a été retenu dans le jugement. De plus, le premier juge a interpellé la police au sujet du sens de circulation de l’appelant au moment des faits, laquelle a indiqué, par courrier du 7 mars 2025, que l’agent radariste s’était trompé de sens de marche (P. 19/1), l’appelant circulant bien en direction de Lausanne. Ce dernier disposait ainsi de tous les éléments probants pour discuter cette question. Partant, le grief doit être rejeté.</w:t>
      </w:r>
    </w:p>
    <w:p>
      <w:r>
        <w:rPr>
          <w:b/>
        </w:rPr>
        <w:t>E. 5.1</w:t>
      </w:r>
    </w:p>
    <w:p>
      <w:r>
        <w:t>L’appelant invoque ensuite des constatations manifestement erronées des faits et un abus d’appréciation. Il soutient en substance que le premier juge aurait fait une interprétation erronée, d’une part, de ses déclarations, en considérant qu’il avait reconnu les faits litigieux, et, d’autre part, du rapport de police, en tenant compte du fait qu’il circulait en direction de Lausanne.</w:t>
      </w:r>
    </w:p>
    <w:p>
      <w:r>
        <w:rPr>
          <w:b/>
        </w:rPr>
        <w:t>E. 5.2.1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5.2.2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13J010</w:t>
      </w:r>
    </w:p>
    <w:p>
      <w:r>
        <w:t>- 12 -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13J010</w:t>
      </w:r>
    </w:p>
    <w:p>
      <w:r>
        <w:t>- 13 -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5.3</w:t>
      </w:r>
    </w:p>
    <w:p>
      <w:r>
        <w:t>Lors de son audition le 22 décembre 2023 par la police (cf. P. 4, p. 2), l’appelant a notamment déclaré ce qui suit s’agissant des faits qui lui étaient reprochés : « [j]e n’ai pas fait attention à la limitation de vitesse en vigueur à cet endroit, car je croyais que la limitation était de 60 km/h à cet endroit. Je reconnais les faits et je ferais [sic] plus attention à la limitation de vitesse prescrite à l’avenir. Je tiens à préciser que le protocole de dénonciation prétend que je circule en direction de Vevey lors de l’infraction alors qu’en réalité, après vérification lors de mon audition il s’avère que je circule en direction de Lausanne ». Il ressort de ce qui précède que l’appelant a admis, d’une part, l’excès de vitesse et, d’autre part, avoir circulé en direction de Lausanne. Il a d’ailleurs signé le procès-verbal d’audition et paraphé la citation susmentionnée. Dans son appel, l’appelant procède toutefois par citations tronquées dans ses moyens au sujet de prétendues constatations manifestement erronées de ses propres déclarations, se gardant bien de reproduire ses aveux, tels que repris plus haut, ce qui rend inconsistant ses griefs y relatifs. Tout au plus a-t-il remis en question « la totale acuité de la mesure » de la vitesse en raison de l’erreur de l’opérateur radar, mais comme on le verra sans que cela ne modifie l’appréciation des preuves. Il 13J010</w:t>
      </w:r>
    </w:p>
    <w:p>
      <w:r>
        <w:t>- 14 - en va de même du contenu du rapport de dénonciation qui indique effectivement que le véhicule circulait en direction de Vevey, lequel a toutefois été rectifié sur ce point, comme on l’a vu précédemment par une détermination du 7 mars 2025 de la police. Peu importe en définitive quels seraient les bâtiments qui borderaient la chaussée côté montagne de la route de Lavaux, les déclarations de l’appelant lui-même et la rectification effectuée par la police permettant de retenir clairement qu’il est l’auteur des faits et qu’il circulait bien en direction de Lausanne. Il n’y a donc aucune constatation manifestement erronée dans le jugement attaqué et le grief doit être rejeté.</w:t>
      </w:r>
    </w:p>
    <w:p>
      <w:r>
        <w:rPr>
          <w:b/>
        </w:rPr>
        <w:t>E. 6.1</w:t>
      </w:r>
    </w:p>
    <w:p>
      <w:r>
        <w:t>L’appelant invoque ensuite une violation de la présomption d’innocence. Il soutient en substance que les faits retenus seraient douteux, dès lors que les revirements de la police ne permettraient pas de se faire une idée claire de leur déroulement. Cela aurait pour conséquence que la mesure de vitesse figurant dans le rapport de police ne serait pas probante. Il prétend encore qu’il ressort du jugement qu’un agent « radariste » a procédé à la mesure de vitesse et qu’il est également fait mention d’un « radar » dans la motivation dudit jugement. L’art. 8 al. 1 let. a ch. 1 OOCCR-OFROU (ordonnance de l’OFROU concernant l’ordonnance sur le contrôle de la circulation routière du 22 mai 2008 ; RS 741.013.1), qui prévoit qu’en présence d’un radar la marge de sécurité à déduire est de 5 km/h et non de 3 km/h, devrait ainsi être appliqué en l’espèce, de sorte que seule une violation simple des règles de la circulation routière aurait dû être retenue à son encontre.</w:t>
      </w:r>
    </w:p>
    <w:p>
      <w:r>
        <w:rPr>
          <w:b/>
        </w:rPr>
        <w:t>E. 6.2.1</w:t>
      </w:r>
    </w:p>
    <w:p>
      <w:r>
        <w:t>Quant aux principes relatifs à la présomption d’innocence, il est renvoyé au considérant 5.2.2 ci-dessus.</w:t>
      </w:r>
    </w:p>
    <w:p>
      <w:r>
        <w:rPr>
          <w:b/>
        </w:rPr>
        <w:t>E. 6.2.2.1</w:t>
      </w:r>
    </w:p>
    <w:p>
      <w:r>
        <w:t>Selon l’art. 90 LCR (Loi fédérale sur la circulation routière du 19 décembre 1958 ; RS 741.01), celui qui viole les règles de la circulation 13J010</w:t>
      </w:r>
    </w:p>
    <w:p>
      <w:r>
        <w:t>- 15 -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w:t>
      </w:r>
    </w:p>
    <w:p>
      <w:r>
        <w:rPr>
          <w:b/>
        </w:rPr>
        <w:t>E. 6.2.2.2</w:t>
      </w:r>
    </w:p>
    <w:p>
      <w:r>
        <w:t>La vitesse doit toujours être adaptée aux circonstances, notamment aux particularités du véhicule et du chargement, ainsi qu’aux conditions de la route, de la circulation et de la visibilité (art. 32 al. 1 1re phr. LCR). Le Conseil fédéral limitera la vitesse des véhicules automobiles sur toutes les routes (art. 32 al. 2 LCR). Selon l’art. 4a al. 1 let. a OCR (Ordonnance sur les règles de la circulation routière du 13 novembre 1962 ; RS 741.11), la vitesse maximale 13J010</w:t>
      </w:r>
    </w:p>
    <w:p>
      <w:r>
        <w:t>- 17 - générale des véhicules peut atteindre, lorsque les conditions de la route, de la circulation et de visibilité sont favorables, 50 km/h dans les localités.</w:t>
      </w:r>
    </w:p>
    <w:p>
      <w:r>
        <w:rPr>
          <w:b/>
        </w:rPr>
        <w:t>E. 6.3</w:t>
      </w:r>
    </w:p>
    <w:p>
      <w:r>
        <w:t>Comme on l’a vu ci-avant, on ne discerne aucune violation de la présomption d’innocence dans le jugement querellé. En effet, la condamnation de l’appelant repose de manière indubitable sur le rapport de dénonciation et sur l’admission des faits par le prévenu lors de sa première audition par la police. Il n’y a rien de douteux dans le fait que l’appelant circulait bien en direction de Lausanne au moment de la commission de l’infraction, ce qu’il a toujours soutenu et ce que le premier juge a retenu comme établi par la rectification effectuée par la police sur le sens de marche du véhicule et par l’ensemble des autres circonstances. Ainsi, il est établi, comme l’appelant l’a d’ailleurs également affirmé, qu’il avait un rendez-vous à Pully à 14h30 – ce qui a en outre été attesté par D.________ (cf. P. 28/3) – et qu’il a été contrôlé en excès de vitesse à 14h36 à Lutry, alors qu’il était en retard à son rendez-vous. Il n’a donc pas prêté une attention suffisante à la limitation de vitesse, comme il l’a clairement admis aux policiers. On ne distingue par ailleurs aucun élément probant pertinent qui permettrait de douter de la mesure de l’excès de vitesse commis, le prétendu revirement de la police ayant uniquement une incidence quant au descriptif des faits. D’ailleurs, quoi qu’en dise l’appelant, il ressort des pièces du dossier que l’excès de vitesse a bien été enregistré par un « radar laser » (cf. P. 9 et 10/2), le certificat de vérification du laser ayant en outre été versé au dossier (P. 10/1). C’est donc à juste titre qu’une déduction de 3 km/h à la valeur enregistrée a été opérée. Partant, la condamnation de l’appelant pour violation grave des règles de la circulation routière doit être confirmée. 7. 7.1 L’appelant ne conteste la peine que dans la mesure où il conclut à son acquittement. Elle doit cependant être examinée d’office. 13J010</w:t>
      </w:r>
    </w:p>
    <w:p>
      <w:r>
        <w:t>- 18 - 7.2 7.2.1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7.2.2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13J010</w:t>
      </w:r>
    </w:p>
    <w:p>
      <w:r>
        <w:t>- 19 -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7.3 Comme l’a retenu le premier juge, la culpabilité de l’appelant n’est pas négligeable, celui-ci ayant circulé à une vitesse de 78 km/h, dont à déduire 3 km/h, sur un tronçon limité à 50 km/h. Il doit toutefois être tenu compte du fait que l’infraction, qui se situe objectivement à la limite inférieure du cas grave, a eu lieu sur un tronçon rectiligne, alors que les conditions de circulation étaient bonnes (beau temps et route sèche). La peine pécuniaire de 20 jours-amende doit dès lors être confirmée, de même que le montant du jour-amende à 250 fr., celui-ci étant justifié au regard de la situation financière de B.________. Cette peine sera assortie du sursis, l’appelant en remplissant les conditions d’octroi. La durée du délai d’épreuve, de 2 ans, sera également confirmée. L’absence de reconnaissance des faits commande toutefois le prononcé d’une sanction immédiate. C’est donc à raison que le premier juge a infligé à B.________ une amende de 1’000 fr. à titre de sanction immédiate (art. 42 al. 4 CP), le prévenu ne s’étant pas remis en question et s’étant contenté de nier les faits aux débats de première instance. La quotité de l’amende, qui tient compte de la situation personnelle et économique de l’appelant est adéquate et peut être confirmée. Il en va de même de la peine privative de liberté de substitution en cas de non-paiement fautif fixée à 4 jours. 13J010</w:t>
      </w:r>
    </w:p>
    <w:p>
      <w:r>
        <w:t>- 20 -</w:t>
      </w:r>
    </w:p>
    <w:p>
      <w:r>
        <w:rPr>
          <w:b/>
        </w:rPr>
        <w:t>E. 8</w:t>
      </w:r>
    </w:p>
    <w:p>
      <w:r>
        <w:t>Au vu de ce qui précède, l’appel de B.________ doit être rejeté et le jugement entrepris confirmé. Vu l’issue de la cause, les frais de la procédure d’appel, par 1’940 fr., constitués des émoluments de jugement et d’audience (art. 21 al. 1 et 2 TFIP [tarif des frais de procédure et indemnités en matière pénale du 28 septembre 2010 ; BLV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