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AM23.025326 vom 12. Juni 2024</w:t>
      </w:r>
    </w:p>
    <w:p>
      <w:r>
        <w:t>VD Tribunal cantonal, 2024-06-12, FR</w:t>
      </w:r>
    </w:p>
    <w:p>
      <w:r>
        <w:rPr>
          <w:b/>
        </w:rPr>
        <w:t xml:space="preserve">Quelle: </w:t>
      </w:r>
      <w:r>
        <w:t>https://mcp.opencaselaw.ch/entscheid/vd_gerichte_AM23.025326</w:t>
      </w:r>
    </w:p>
    <w:p>
      <w:r>
        <w:t>FR: VD_GERICHTE AM23.025326 du 12 juin 2024</w:t>
      </w:r>
    </w:p>
    <w:p>
      <w:r>
        <w:t>IT: VD_GERICHTE AM23.025326 del 12 giugno 2024</w:t>
      </w:r>
    </w:p>
    <w:p>
      <w:pPr>
        <w:pStyle w:val="Heading2"/>
      </w:pPr>
      <w:r>
        <w:t>Erwägungen</w:t>
      </w:r>
    </w:p>
    <w:p>
      <w:r>
        <w:rPr>
          <w:b/>
        </w:rPr>
        <w:t>E. 1.1</w:t>
      </w:r>
    </w:p>
    <w:p>
      <w:r>
        <w:t>Aux termes de l’art. 393 al. 1 let. b CPP (Code de procédure pénale ; RS 312.0), le recours est recevable contre les ordonnances, les décisions et les actes de procédure des tribunaux de première instance, sauf contre ceux de la direction de la procédure. Ce recours s’exerce auprès de l’autorité de recours (cf. art. 20 al. 1 let. b CPP) qui est, dans le canton de Vaud, la Chambre des recours pénale du Tribunal cantonal (art.</w:t>
      </w:r>
    </w:p>
    <w:p>
      <w:r>
        <w:t>- 3 - 13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Le recours a été interjeté, par le prévenu qui a qualité pour recourir (art. 382 al. 1 CPP), devant l’autorité compétente, en temps utile. Autre est toutefois la question de savoir s’il l’a été dans les formes prescrites.</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6B_1447/2022 du 14 mars 2023 consid. 1.1 et les références citées ; TF 1B_318/2021 du 25 janvier 2022 consid. 4.1 ad CREP 7 avril 2021/327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8 avril 2024/262 et les références citées). L’art. 385 al. 2, 1re phrase, CPP prévoit que si le mémoire ne satisfait pas aux exigences mentionnées à l’alinéa 1, l’autorité de recours</w:t>
      </w:r>
    </w:p>
    <w:p>
      <w:r>
        <w:t>- 4 -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2.2</w:t>
      </w:r>
    </w:p>
    <w:p>
      <w:r>
        <w:t>En l’espèce, l’acte de recours ne comporte aucun moyen dirigé contre les motifs ou le dispositif du prononcé et qui, en se référant aux considérants de la décision attaquée, commanderait de rendre une autre décision. En effet, l’acte ne contient aucun moyen relatif à l’irrecevabilité de l’opposition pour cause de tardiveté, le prévenu se limitant à contester l’ordonnance pénale du 16 avril 2024 en critiquant la quotité de la peine pécuniaire et la durée du délai d’épreuve assortissant le sursis. Il ne satisfait dès lors pas aux exigences de motivation de l'art. 385 al. 1 CPP. Un tel défaut de motivation ne saurait justifier qu'un délai supplémentaire soit imparti au recourant pour compléter son acte en application de l'art. 385 al. 2 CPP.</w:t>
      </w:r>
    </w:p>
    <w:p>
      <w:r>
        <w:rPr>
          <w:b/>
        </w:rPr>
        <w:t>E. 3</w:t>
      </w:r>
    </w:p>
    <w:p>
      <w:r>
        <w:t>Il résulte de ce qui précède que le recours doit être déclaré irrecevable, sans échange d’écritures (art. 390 al. 2 CPP). Les frais de la procédure de recours, constitués du seul émolument d’arrêt, par 440 fr. (art. 20 al. 1 TFIP [tarif des frais de procédure et indemnités en matière pénale du 28 septembre 2010 ; BLV</w:t>
      </w:r>
    </w:p>
    <w:p>
      <w:r>
        <w:t>- 5 - 312.03.1]), seront mis à la charge du recourant, qui succombe (art. 428 al. 1 CPP). Par ces motifs, la Chambre des recours pénale prononce : I. Le recours est irrecevable. II. Les frais d’arrêt, par 440 fr. (quatre cent quarante francs), sont mis à la charge de I.________. III. L’arrêt est exécutoire. Le président : Le greffier : Du Le présent arrêt, dont la rédaction a été approuvée à huis clos, est notifié, par l'envoi d'une copie complète, à : - M. I.________, - Ministère public central, et communiqué à : - M. le Président du Tribunal de police de l’arrondissement de La Côte, - M. le Procureur de l’arrondissement de La Côte,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