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AM23.022836 vom 10. April 2024</w:t>
      </w:r>
    </w:p>
    <w:p>
      <w:r>
        <w:t>VD Tribunal cantonal, 2024-04-10, FR</w:t>
      </w:r>
    </w:p>
    <w:p>
      <w:r>
        <w:rPr>
          <w:b/>
        </w:rPr>
        <w:t xml:space="preserve">Quelle: </w:t>
      </w:r>
      <w:r>
        <w:t>https://mcp.opencaselaw.ch/entscheid/vd_gerichte_AM23.022836</w:t>
      </w:r>
    </w:p>
    <w:p>
      <w:r>
        <w:t>FR: VD_GERICHTE AM23.022836 du 10 avril 2024</w:t>
      </w:r>
    </w:p>
    <w:p>
      <w:r>
        <w:t>IT: VD_GERICHTE AM23.022836 del 10 aprile 2024</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[ci-après : Zürcher Kommentar], n. 2 ad art. 356 StPO ; Gilliéron/Killias, in : Jeanneret et al. [éd.], Commentaire romand, Code de procédure pénale suisse, 2e éd., Bâle 2019 [ci-après : CR CPP], n. 5 ad art. 356 CPP ; CREP 5 février 2024/95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1.1.1</w:t>
      </w:r>
    </w:p>
    <w:p>
      <w:r>
        <w:t>;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w:t>
      </w:r>
    </w:p>
    <w:p>
      <w:r>
        <w:t>- 5 -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w:t>
      </w:r>
    </w:p>
    <w:p>
      <w:r>
        <w:rPr>
          <w:b/>
        </w:rPr>
        <w:t>E. 1.2</w:t>
      </w:r>
    </w:p>
    <w:p>
      <w:r>
        <w:t>En l’espèce, déposé en temps utile devant l’autorité compétente, par une partie qui a qualité pour recourir (art. 382 al. 1 CPP), le recours est recevable, sous réserve de ce qui sera exposé aux considérants 2.3 et 3.3 ci-dessous.</w:t>
      </w:r>
    </w:p>
    <w:p>
      <w:r>
        <w:rPr>
          <w:b/>
        </w:rPr>
        <w:t>E. 2.1</w:t>
      </w:r>
    </w:p>
    <w:p>
      <w:r>
        <w:t>La recourante requiert implicitement une restitution de délai, expliquant qu’elle a tardé à former opposition à l’ordonnance pénale en raison du fait qu’elle a déménagé au mois de novembre 2023.</w:t>
      </w:r>
    </w:p>
    <w:p>
      <w:r>
        <w:rPr>
          <w:b/>
        </w:rPr>
        <w:t>E. 2.2</w:t>
      </w:r>
    </w:p>
    <w:p>
      <w:r>
        <w:t>et les références citées).</w:t>
      </w:r>
    </w:p>
    <w:p>
      <w:r>
        <w:rPr>
          <w:b/>
        </w:rPr>
        <w:t>E. 2.3</w:t>
      </w:r>
    </w:p>
    <w:p>
      <w:r>
        <w:t>En l’espèce, la recourante requiert de manière implicite une restitution délai. Elle ne conteste pas la tardiveté de son opposition, mais sollicite la bienveillance de l’autorité de recours, soit la prise en compte de son déménagement. Elle évoque son courrier d’opposition daté du 27 décembre 2023, mais qu’elle avait expédié le 3 janvier 2024 au Ministère public (P. 5/1). Or, dans ce courrier, elle donnait une explication sur les raisons de son retard, soit son déménagement, et semblait dire, au surplus, qu’elle n’avait pas eu la décision à temps. A ce dernier égard, il résulte de l’extrait de suivi des envois de la Poste suisse que C.____ avait reçu l’ordonnance pénale le 5 décembre 2023 (P. 6). Quoiqu’il en soit, son courrier envoyé le 3 janvier 2024 au Ministère public ne pouvait guère être compris comme une demande de restitution de délai, raison pour laquelle le Ministère public n’avait pas statué sur une telle demande. Dans la mesure où la Chambre des recours pénale n’est quant à elle pas compétente pour statuer sur une demande de restitution de délai, le recours est, dans cette mesure, irrecevable.</w:t>
      </w:r>
    </w:p>
    <w:p>
      <w:r>
        <w:rPr>
          <w:b/>
        </w:rPr>
        <w:t>E. 3.1</w:t>
      </w:r>
    </w:p>
    <w:p>
      <w:r>
        <w:t>La recourante demande en outre « un abaissement de sa dette » et un « paiement échelonné ».</w:t>
      </w:r>
    </w:p>
    <w:p>
      <w:r>
        <w:rPr>
          <w:b/>
        </w:rPr>
        <w:t>E. 3.2</w:t>
      </w:r>
    </w:p>
    <w:p>
      <w:r>
        <w:t>Le recours s’exerce par le dépôt d’un mémoire écrit et dûment motivé (art. 390 al. 1 et 396 al. 1 CPP). Les exigences de motivation du recours sont posées à l’art. 385 al. 1 CPP. Selon cette disposition, la</w:t>
      </w:r>
    </w:p>
    <w:p>
      <w:r>
        <w:t>- 6 -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StPO et les références citées ; Keller, in : Zürcher Kommentar, op. cit., n. 14 ad art. 396 StPO et les références citées ; Calame, in : CR CPP, op. cit.,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w:t>
      </w:r>
    </w:p>
    <w:p>
      <w:r>
        <w:t>- 7 - l’autorité inférieure, le renvoi à d’autres écritures n’étant pas suffisant (cf. TF 6B_1447/2022 précité ; CREP 26 janvier 2024/73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3.3</w:t>
      </w:r>
    </w:p>
    <w:p>
      <w:r>
        <w:t>En l’espèce, la recourante ne soulève aucun moyen critique à l’égard du prononcé du Tribunal de police de l’arrondissement de l’Est vaudois et n’explique pas en quoi, selon elle, les motifs sur lesquels cette autorité a fondé sa décision d’irrecevabilité seraient erronés ou en quoi ils devraient conduire à une décision différente. Le recours souffre dès lors d’un défaut de motivation au sens de l’art. 385 al. 1 CPP. Le recours est donc irrecevable pour ce motif également.</w:t>
      </w:r>
    </w:p>
    <w:p>
      <w:r>
        <w:rPr>
          <w:b/>
        </w:rPr>
        <w:t>E. 3.4</w:t>
      </w:r>
    </w:p>
    <w:p>
      <w:r>
        <w:t>Au surplus, la demande de C.____ d’obtenir un paiement échelonné de la peine pécuniaire prononcée à son encontre ne relève pas de la compétence de la Chambre des recours pénale. Il appartiendra à la recourante, une fois la peine prononcée devenue exécutoire, d’adresser sa requête visant à obtenir une modalité particulière de paiement à l’Office d’exécution des peines, qui est l’autorité compétente pour la mise en</w:t>
      </w:r>
    </w:p>
    <w:p>
      <w:r>
        <w:t>- 8 - œuvre de l’exécution des condamnations pénales (art. 35 al. 1 CP [Code pénal suisse du 21 décembre 1937 ; RS 311.0]) ; art. 8 al. 1 LEP [loi sur l’exécution des condamnations pénales ; BLV 340.01]).</w:t>
      </w:r>
    </w:p>
    <w:p>
      <w:r>
        <w:rPr>
          <w:b/>
        </w:rPr>
        <w:t>E. 4</w:t>
      </w:r>
    </w:p>
    <w:p>
      <w:r>
        <w:t>Au vu de ce qui précède, le recours doit être déclaré irrecevable, sans autre échange d’écritures (art. 390 al. 2 CPP). Les frais de la procédure de recours, constitués en l'espèce du seul émolument d’arrêt, par 770 fr. (art. 20 al. 1 TFIP [Tarif des frais de procédure et indemnités en matière pénale du 28 septembre 2010; RSV 312.03.1]), seront mis à la charge de la recourante, qui succombe (art. 428 al. 1 CPP). Par ces motifs, la Chambre des recours pénale prononce : I. Le recours est irrecevable. II. Les frais d’arrêt, par 770 fr. (sept cent septante francs), sont mis à la charge de C.____. III. L’arrêt est exécutoire. Le président : La greffière : Du Le présent arrêt, dont la rédaction a été approuvée à huis clos, est notifié, par l'envoi d'une copie complète, à : - C.____, - Ministère public central,</w:t>
      </w:r>
    </w:p>
    <w:p>
      <w:r>
        <w:t>- 9 - et communiqué à : - Mme la Présidente du Tribunal d’arrondissement de l’Est vaudois, - M. le Procureur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