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AM23.010351 vom 15. November 2024</w:t>
      </w:r>
    </w:p>
    <w:p>
      <w:r>
        <w:t>VD Tribunal cantonal, 2024-11-15, FR</w:t>
      </w:r>
    </w:p>
    <w:p>
      <w:r>
        <w:rPr>
          <w:b/>
        </w:rPr>
        <w:t xml:space="preserve">Quelle: </w:t>
      </w:r>
      <w:r>
        <w:t>https://mcp.opencaselaw.ch/entscheid/vd_gerichte_AM23.010351</w:t>
      </w:r>
    </w:p>
    <w:p>
      <w:r>
        <w:t>FR: VD_GERICHTE AM23.010351 du 15 novembre 2024</w:t>
      </w:r>
    </w:p>
    <w:p>
      <w:r>
        <w:t>IT: VD_GERICHTE AM23.010351 del 15 novembre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doit être déclaré irrecevable. Les frais de la procédure de recours, constitués en l’espèce du seul émolument d’arrêt (art. 422 al. 1 CPP), par 770 fr. (art. 20 al. 1 TFIP [tarif des frais de procédure et indemnités en matière pénale du 28 septembre 2010 ; BLV 312.03.1]), seront mis à la charge du recourant, qui succombe (art. 428 al. 1 CPP).</w:t>
      </w:r>
    </w:p>
    <w:p>
      <w:r>
        <w:t>- 8 - Par ces motifs, la Chambre des recours pénale prononce : I. La requête de restitution de délai est rejetée. II. Le recours est irrecevable. III. Les frais d’arrêt, par 770 fr. (sept cent septante francs), sont mis à la charge d’X.________. IV. L’arrêt est exécutoire. Le président : La greffière : Du Le présent arrêt, dont la rédaction a été approuvée à huis clos, est notifié, par l'envoi d'une copie complète, à : - M. X.________, - Ministère public central, et communiqué à : - M. le Procureur de l’arrondissement de Lausanne, - Service de la population, - Office d’exécution des peines, par l’envoi de photocopies.</w:t>
      </w:r>
    </w:p>
    <w:p>
      <w:r>
        <w:t>- 9 -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