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AM22.022704 vom 25. Mai 2023</w:t>
      </w:r>
    </w:p>
    <w:p>
      <w:r>
        <w:t>VD Tribunal cantonal, 2023-05-25, FR</w:t>
      </w:r>
    </w:p>
    <w:p>
      <w:r>
        <w:rPr>
          <w:b/>
        </w:rPr>
        <w:t xml:space="preserve">Quelle: </w:t>
      </w:r>
      <w:r>
        <w:t>https://mcp.opencaselaw.ch/entscheid/vd_gerichte_AM22.022704</w:t>
      </w:r>
    </w:p>
    <w:p>
      <w:r>
        <w:t>FR: VD_GERICHTE AM22.022704 du 25 mai 2023</w:t>
      </w:r>
    </w:p>
    <w:p>
      <w:r>
        <w:t>IT: VD_GERICHTE AM22.022704 del 25 maggio 2023</w:t>
      </w:r>
    </w:p>
    <w:p>
      <w:pPr>
        <w:pStyle w:val="Heading2"/>
      </w:pPr>
      <w:r>
        <w:t>Erwägungen</w:t>
      </w:r>
    </w:p>
    <w:p>
      <w:r>
        <w:rPr>
          <w:b/>
        </w:rPr>
        <w:t>E. 17</w:t>
      </w:r>
    </w:p>
    <w:p>
      <w:r>
        <w:t>février 2023, fait savoir que son courrier du 15 février précédent devait être considéré comme un recours contre le prononcé rendu le 8 février 2023. Il n’a pas été ordonné d’échange d’écritures. En d roit : 1. 1.1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(Schwarzenegger, in : Donatsch/Lieber/Summers/Wohlers [édit.], Kommentar zur Schweizerischen Strafprozessordnung, 3e éd., Zurich/Bâle/Genève 2020, Art. 196-457, n. 2 ad art. 356 CPP ; Riklin, in : Niggli/Heer/Wiprächtiger</w:t>
      </w:r>
    </w:p>
    <w:p>
      <w:r>
        <w:t>- 4 - [édit.], Basler Kommentar, Schweizerische Strafprozessordnung, Jugendstrafprozessordnung, 2e éd., Bâle 2014, n. 2 ad art. 356 CPP ; CREP du 6 avril 2023/273 consid. 1.1 ; CREP du 31 août 2022/351 consid. 1.1 ; CREP 15 juillet 2021/652 consid. 1.1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Le recours a été interjeté en temps utile par l’opposant qui a qualité pour recourir (art. 382 al. 1 CPP). Autre est toutefois la question de savoir si le recours satisfait aux exigences légales quant à sa motivation. 2.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[édit.], op. cit., n. 1a ad art. 385 CPP). Le recourant doit ensuite énoncer « les motifs qui commandent une autre décision » (art. 385 al. 1 let. b CPP), à savoir les arguments, de fait ou de droit, sur lesquels il prétend se fonder pour faire modifier la décision en sa faveur (TF 6B_1447/2022 du 14 mars 2023 consid. 1.1 ; Pitteloud, op. et</w:t>
      </w:r>
    </w:p>
    <w:p>
      <w:r>
        <w:t>- 5 - loc. cit. ; Lieber, in : Donatsch/Lieber/Summers/Wohlers [édit.], op. cit., n. 2 ad art. 385 CPP). Ainsi, il doit indiquer dans quelle mesure et sous quel angle il entend critiquer l’établissement des faits ou l’application du droit (Calame, in : Kuhn/Jeanneret/Perrier Depeursinge [éd.], Commentaire romand, Code de procédure pénale suisse,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ibid. ; TF 6B_705/2019 du 5 septembre 2019 consid. 3.2.2 ; TF 1B_232/2017 du 19 juillet 2017 consid. 2.4.3 ; TF 6B_347/2016 du 10 février 2017 consid. 4.1 ; TF 1B_363/2014 du 7 janvier 2015 consid. 2.1 et les réf. citées). 2.2 En l’espèce, le recourant ne discute pas, dans son recours, les motifs retenus par le Tribunal de police dans son prononcé du 8 février 2023, tout particulièrement le fait que son opposition ait été déposée au- delà du délai de dix jours mentionné au pied de l’ordonnance pénale du 10 janvier 2023. Par conséquent, son recours est irrecevable. De toute manière, l’ordonnance pénale du 10 janvier 2023 n’a pas traité du possible retrait de permis de conduire dont fait état le prévenu, mais a prononcé une peine pénale sous la forme de jours- amende. Le recours est également irrecevable en tant qu’il s’agirait de discuter d’une éventuelle mesure administrative du Service des automobiles et de la navigation.</w:t>
      </w:r>
    </w:p>
    <w:p>
      <w:r>
        <w:t>- 6 - 3. Au vu de ce qui précède, le recours doit être déclaré irrecevable, sans échange d'écritures (art. 390 al. 2 CPP). Les frais d'arrêt, par 660 fr. (art. 20 al. 1 TFIP [tarif des frais de procédure et indemnités en matière pénale du 28 septembre 2010 ; BLV 312.03.1]), seront mis à la charge du recourant, qui succombe (art. 428 al. 1 CPP).</w:t>
      </w:r>
    </w:p>
    <w:p>
      <w:r>
        <w:t>- 7 - Par ces motifs, la Chambre des recours pénale prononce : I. Le recours est irrecevable. II. Les frais d’arrêt, par 660 fr. (six cent soixante francs), sont mis à la charge du recourant. III. L’arrêt est exécutoire. La présidente : Le greffier : Du Le présent arrêt, dont la rédaction a été approuvée à huis clos, est notifié, par l'envoi d'une copie complète, à : - M. J.________, - Ministère public central, et communiqué à : - M. le Président du Tribunal de police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