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AM22.016972 vom 2. Mai 2023</w:t>
      </w:r>
    </w:p>
    <w:p>
      <w:r>
        <w:t>VD Tribunal cantonal, 2023-05-02, FR</w:t>
      </w:r>
    </w:p>
    <w:p>
      <w:r>
        <w:rPr>
          <w:b/>
        </w:rPr>
        <w:t xml:space="preserve">Quelle: </w:t>
      </w:r>
      <w:r>
        <w:t>https://mcp.opencaselaw.ch/entscheid/vd_gerichte_AM22.016972</w:t>
      </w:r>
    </w:p>
    <w:p>
      <w:r>
        <w:t>FR: VD_GERICHTE AM22.016972 du 2 mai 2023</w:t>
      </w:r>
    </w:p>
    <w:p>
      <w:r>
        <w:t>IT: VD_GERICHTE AM22.016972 del 2 maggio 2023</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et 396 al. 1 CPP; cf. art. 20 al. 1 let. b CPP) qui est, dans le canton de Vaud, la Chambre des</w:t>
      </w:r>
    </w:p>
    <w:p>
      <w:r>
        <w:t>- 6 - recours pénale du Tribunal cantonal (art. 13 LVCPP ; art. 80 LOJV [Loi d’organisation judiciaire du 12 décembre 1979; BLV 173.01]).</w:t>
      </w:r>
    </w:p>
    <w:p>
      <w:r>
        <w:rPr>
          <w:b/>
        </w:rPr>
        <w:t>E. 1.2</w:t>
      </w:r>
    </w:p>
    <w:p>
      <w:r>
        <w:t>En l’espèce, interjeté en temps utile auprès de l’autorité compétente et dans les formes prescrites par la partie plaignante qui a qualité pour recourir (art. 382 al. 1 CPP), le recours est recevable. Les pièces nouvelles produites sont également recevables (cf. art. 389 al. 3 CPP).</w:t>
      </w:r>
    </w:p>
    <w:p>
      <w:r>
        <w:rPr>
          <w:b/>
        </w:rPr>
        <w:t>E. 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6B_77/2021 du 6 mai 2021 consid. 2.2) et signifie qu'en principe un classement ou une non- entrée en matière ne peuvent être prononcés par le Ministère public que lorsqu'il apparaît clairement que les faits ne sont pas punissables ou que les conditions à la poursuite pénale ne sont pas remplies (ATF 146 IV 68 consid. 2.1 ; TF 6B_375/2020 du 9 juillet 2020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w:t>
      </w:r>
    </w:p>
    <w:p>
      <w:r>
        <w:t>- 7 -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Le recourant fait d’abord valoir que, selon la jurisprudence du Tribunal fédéral, des motifs justificatifs permettraient de lever, dans une procédure pénale, le caractère illicite d’une preuve recueillie par un particulier. A cet égard, il rappelle que l’art. 13 al. 1 LPD (loi fédérale sur la protection des données du 19 juin 1992 ; RS 235.1) dispose qu’une atteinte à la personnalité est illicite à moins d’être justifiée par le consentement de la victime, par un intérêt prépondérant privé ou public ou par la loi. Selon lui, les images recueillies au moyen de sa dashcam permettraient d’identifier V.________ comme étant la seule responsable de l’accident ayant causé ses lésions corporelles, de sorte que leur utilisation comme moyen de preuve permettrait d’établir les faits constitutifs de lésions corporelles, ce qui commanderait au procureur d’ouvrir une instruction pénale.</w:t>
      </w:r>
    </w:p>
    <w:p>
      <w:r>
        <w:rPr>
          <w:b/>
        </w:rPr>
        <w:t>E. 3.2.1</w:t>
      </w:r>
    </w:p>
    <w:p>
      <w:r>
        <w:t>L'art. 125 al. 1 CP (Code pénal suisse du 21 décembre 1937 ; RS 311.0) réprime le comportement de celui qui, par négligence, aura fait subir à une personne une atteinte à l'intégrité corporelle ou à la santé. Si la lésion est grave, le délinquant sera poursuivi d'office (art. 125 al. 2 CP). La réalisation de cette infraction suppose la réunion de trois éléments constitutifs, à savoir une négligence imputable à l'auteur, des lésions corporelles subies par la victime, ainsi qu'un lien de causalité naturelle et adéquate entre la négligence et les lésions (TF 6B_1081/2020 du 17 novembre 2021 consid. 1 ; TF 6B_33/2021 du 12 juillet 202 consid. 3.1 ; TF 6B_1420/2016 du 3 octobre 2017 consid. 1.1.1).</w:t>
      </w:r>
    </w:p>
    <w:p>
      <w:r>
        <w:t>- 8 - Conformément à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 ATF 135 IV 56 consid. 2.1 et les références citées). Pour déterminer plus précisément les devoirs imposés par la prudence, on peut se référer à des normes édictées par l'ordre juridique pour assurer la sécurité et éviter des accidents (ATF 143 IV 138 consid. 2.1). S'agissant en particulier d'un accident de la route, il convient de se référer aux règles de la circulation routière (ATF 126 IV 91 consid. 4a/aa ; TF 6B_1081/2021 précité ; TF 6B_33/2021 précité). Une des conditions essentielles pour l’existence d’une violation d’un devoir de prudence et, partant, d’une responsabilité pénale fondée sur la négligence, est la prévisibilité du résultat. Pour l’auteur, le déroulement des évènements jusqu’au résultat doit être prévisible, au moins dans les grandes lignes. C’est pourquoi, il faut commencer par se demander si l’auteur aurait pu et dû prévoir ou reconnaître une mise en danger des biens juridiques de la victime. Pour répondre à cette question, on applique la règle de la causalité adéquate. Le comportement incriminé doit être propre, d’après le cours ordinaire des choses et l’expérience générale de la vie, à produire ou à favoriser un résultat du type de celui qui est survenu. La causalité adéquate ne doit être niée que lorsque d’autres causes concomitantes, comme par exemple la faute d’un tiers, un défaut de matériel ou un vice de construction, constituent des circonstances si exceptionnelles qu’on ne pouvait s’y attendre, de telle sorte qu’elles apparaissent comme la cause la plus probable et la plus immédiate de l’évènement considéré, reléguant à l’arrière-plan tous les autres facteurs qui ont contribué à amener celui-ci, notamment le comportement de l’auteur (ATF 143 III 242 consid. 3.7 ; ATF 134 IV 255 consid. 4.4.2 ; ATF 133 IV 158 consid. 6.1 ; ATF 131 IV 145 consid. 5.2. ; cf. en matière de circulation routière : ATF 127 IV 34 consid. 2a ; TF 6B_1280/2019 du 5 février 2020 consid. 4.1).</w:t>
      </w:r>
    </w:p>
    <w:p>
      <w:r>
        <w:t>- 9 -</w:t>
      </w:r>
    </w:p>
    <w:p>
      <w:r>
        <w:rPr>
          <w:b/>
        </w:rPr>
        <w:t>E. 3.2.2</w:t>
      </w:r>
    </w:p>
    <w:p>
      <w:r>
        <w:t>A teneur de l'art. 31 al. 1 LCR (Loi fédérale sur la circulation routière du 19 décembre 1958 ; RS 741.01), le conducteur devra rester constamment maître de son véhicule de façon à pouvoir se conformer aux devoirs de la prudence. L'art. 3 al. 1 OCR (Ordonnance sur les règles de la circulation routière du 13 novembre 1962; RS 741.11)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et les références citées ; TF 1C_135/2022 du 24 août 2022 consid. 2.2 ; TF 6B_1081/2020 du 17 novembre 2021 consid. 1.3.2 et les références citées). Lorsqu'un conducteur doit prêter son attention visuelle principalement dans une direction déterminée, on peut admettre que son attention soit moindre dans les autres (ATF 122 IV 225 consid. 2b ; TF 6B_1081/2020 précité consid. 1.3.2 et la référence citée). Le conducteur doit avant tout porter son attention, outre sur sa propre voie de circulation (TF 6B_1081/2020 précité ; TF 6B_783/2008 du 4 décembre 2008 consid. 3.3), sur les dangers auxquels on doit s'attendre et peut ne prêter qu'une attention secondaire à d'éventuels comportements inhabituels ou aberrants (ATF 122 IV 225 consid. 2c ; TF 6B_1081/2020 précité, TF 6B_33/2021 du 12 juillet 2021 consid. 3.2.2).</w:t>
      </w:r>
    </w:p>
    <w:p>
      <w:r>
        <w:rPr>
          <w:b/>
        </w:rPr>
        <w:t>E. 3.2.3</w:t>
      </w:r>
    </w:p>
    <w:p>
      <w:r>
        <w:t>Dans un arrêt de principe, le Tribunal fédéral a tranché la question de l’exploitabilité en procédure pénale de prises de vue réalisées au moyen d’une « dashcam » par des personnes privées (ATF 146 IV 226). Des moyens de preuve illicites obtenus par des personnes privées ne sont exploitables que si les autorités de poursuite pénales auraient elles- mêmes été en mesure de les récolter de façon licite et si, de surcroît, une pesée d'intérêts plaide en faveur de leur utilisation en procédure. Dans le cadre de cette pesée d'intérêts, il convient d'appliquer les mêmes critères que lorsque les moyens de preuve ont été récoltés par l'autorité. Les moyens de preuve ne sont ainsi exploitables que s'ils sont indispensables</w:t>
      </w:r>
    </w:p>
    <w:p>
      <w:r>
        <w:t>- 10 - pour élucider des infractions graves au sens de l'art. 141 al. 2 CPP, ce qui n’est pas le cas des infractions sanctionnées par l'art. 90 al. 1 et 2 LCR, qui constituent des contraventions et des délits qui, d'après la jurisprudence, ne peuvent être qualifiées d'infractions graves. Cette appréciation prévaut également pour examiner l'exploitabilité de moyens de preuve récoltés par des personnes privées (ATF 146 IV 226 consid. 2 et 4). Ces principes s’appliquent aux prises de vues effectuées par des tiers. Dans un arrêt subséquent (TF 1B_91/2020 du 4 mars 2020, spéc. consid. 2.3, avec référence notamment à TF 1B_76/2016 du 30 mars 2016 consid. 2.1 et à ATF 146 IV 226 consid. 2.1), le Tribunal fédéral a précisé que la procédure pénale ne réglait en revanche pas de manière explicite dans quelle mesure ces dispositions s'appliquaient quand les moyens de preuve étaient récoltés, non pas par les autorités, mais par des personnes privées. Dans une telle situation, il n'existait donc pas d'interdiction de principe de les exploiter. Cela étant, selon la jurisprudence, de tels moyens de preuve sont uniquement exploitables si, cumulativement, ils auraient pu être obtenus par les autorités de poursuite pénale conformément à la loi et si une pesée des intérêts en présence justifie leur exploitation. En tout état de cause, au stade de l'instruction, il convient de ne constater l'inexploitabilité de ce genre de moyen de preuve que dans des cas manifestes (TF 1B_91/2020 du 4 mars 2020 consid. 2.3, avec référence à TF 1B_234/2018 du 27 juillet 2018 consid. 3.1 et les références citées).</w:t>
      </w:r>
    </w:p>
    <w:p>
      <w:r>
        <w:rPr>
          <w:b/>
        </w:rPr>
        <w:t>E. 3.3</w:t>
      </w:r>
    </w:p>
    <w:p>
      <w:r>
        <w:t>Pour pouvoir rendre une ordonnance de non-entrée en matière, il importe que les éléments constitutifs de l'infraction ne soient manifestement pas réunis. Comme on l’a vu, la réalisation de l’infraction de lésions corporelles par négligence suppose la réunion de trois éléments constitutifs, à savoir une négligence imputable à l'auteur, des lésions corporelles subies par la victime, ainsi qu'un lien de causalité naturelle et adéquate entre la négligence et les lésions</w:t>
      </w:r>
    </w:p>
    <w:p>
      <w:r>
        <w:t>- 11 - En l’espèce, le certificat médical produit par le recourant indique que celui-ci s’est rendu à la consultation chez son médecin le 2 mai 2022 à la suite de l’accident de la route survenu le 29 avril 2022. Ce document constate que la main gauche de l’intéressé le faisait souffrir et était si enflée qu’il ne pouvait plus serrer le poing. Le recourant démontre ainsi à satisfaction qu’il a subi une lésion corporelle. Si le rapport de la gendarmerie du 30 juin 2022 ne mentionne pas que Z.________ a été blessé lors de l’accident, il faut relever que, dans ses déclarations immédiates à la police, celui-ci avait indiqué qu’il se réservait de consulter plus tard, ce qu’il a fait. Compte tenu de ce qui précède, il n’est pas possible d’exclure avec certitude que les lésions subies par Z.________ à sa main gauche ne sont pas en lien avec l’accident survenu le 29 avril 2022 sur l’autoroute A9. Il existe ainsi un doute suffisant qui empêche la Chambre de céans de confirmer l’ordonnance attaquée. Partant, en vertu du principe « in dubio pro duriore » applicable à ce stade, le recours doit être admis.</w:t>
      </w:r>
    </w:p>
    <w:p>
      <w:r>
        <w:rPr>
          <w:b/>
        </w:rPr>
        <w:t>E. 3.4</w:t>
      </w:r>
    </w:p>
    <w:p>
      <w:r>
        <w:t>S’agissant de l’admissibilité des images prises par le recourant au moyen de sa dashcam, il s’agit d’une question qui ne peut être analysée sans que l’on ait le moindre fait établi. Elle ne saurait par conséquent être tranchée qu’une fois l’enquête ouverte, et conformément à la jurisprudence citée (cf. consid. 3.2.3 supra).</w:t>
      </w:r>
    </w:p>
    <w:p>
      <w:r>
        <w:rPr>
          <w:b/>
        </w:rPr>
        <w:t>E. 4</w:t>
      </w:r>
    </w:p>
    <w:p>
      <w:r>
        <w:t>En définitive, le recours doit être admis et l’ordonnance entreprise annulée. Le dossier de la cause sera renvoyé au Ministère public pour qu’il ouvre une instruction pénale et procède dans le sens des considérants. Vu l’admission du recours, les frais de la procédure, constitués en l’espèce du seul émolument d'arrêt, par 1’210 fr. (art. 20 al. 1 TFIP [Tarif des frais de procédure et indemnités en matière pénale du 28</w:t>
      </w:r>
    </w:p>
    <w:p>
      <w:r>
        <w:t>- 12 - septembre 2010 ; BLV 312.03.1]), seront laissés à la charge de l’Etat (art. 428 al. 4 CPP). Le recourant, qui a procédé avec l’assistance d’un conseil de choix et qui a obtenu gain de cause, a droit à une indemnité pour les dépenses occasionnées par la procédure de recours (art. 433 al. 1 let. a CPP). Il requiert l’allocation d’une indemnité de 2'500 francs, sans toutefois produire de liste des opérations. Au vu du mémoire de recours déposé et du fait que le Ministère public n’a pas déposé de déterminations, ce montant – qui correspond à 8h33 d’activité – paraît excessif. Compte tenu de l’ampleur relative du mémoire déposé (qui compte 7 pages, dont une d’en-tête et deux de conclusion comprises) et de la nature de l’affaire, cette indemnité sera fixée à 1’050 fr., correspondant à 3h30 d’activité nécessaire d’avocat au tarif horaire de 300 fr. (art. 26a al. 3 TFIP), montant auquel il convient d’ajouter des débours forfaitaires à concurrence de 2 % des honoraires admis (art. 19 al. 2 TDC [Tarif des dépens en matière civile du 23 novembre 2010 ; BLV 270.11.6], applicable par renvoi de l’art. 26a al. 6 TFIP), par 21 fr., plus la TVA au taux de 7,7 %, par 82 fr. 45, soit à 1’154 fr. au total en chiffres arrondis. Elle sera laissée à la charge de l’Etat, en l’absence de partie succombante (ATF 138 IV 248 consid. 5.3, JdT 2013 IV 151). Par ces motifs, la Chambre des recours pénale prononce : I. Le recours est admis. II. L’ordonnance du 6 mars 2023 est annulée. III. Le dossier de la cause est renvoyé au Ministère public de l’arrondissement de Lausanne pour qu’il procède dans le sens des considérants. IV. Les frais d’arrêt par 1’210 fr. (mille deux cent dix francs) sont laissés à la charge de l’Etat.</w:t>
      </w:r>
    </w:p>
    <w:p>
      <w:r>
        <w:t>- 13 - V. Une indemnité de 1’154 fr. (mille cent cinquante-quatre francs) est allouée à Z.________ pour ses dépenses obligatoires occasionnées par la procédure de recours, à la charge de l’Etat. VI. L’arrêt est exécutoire. La présidente : La greffière : Du Le présent arrêt, dont la rédaction a été approuvée à huis clos, est notifié, par l'envoi d'une copie complète, à : - Me Samir Djaziri, avocat (pour Z.________), - Mme V.________, et communiqué à : - M. le Procureur de l’arrondissement de Lausanne, - Service des curatelles des communes de Bulle, Riaz et Morlon (M. Christian D’Amato),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