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AM22.012513 vom 17. Februar 2023</w:t>
      </w:r>
    </w:p>
    <w:p>
      <w:r>
        <w:t>VD Tribunal cantonal, 2023-02-17, FR</w:t>
      </w:r>
    </w:p>
    <w:p>
      <w:r>
        <w:rPr>
          <w:b/>
        </w:rPr>
        <w:t xml:space="preserve">Quelle: </w:t>
      </w:r>
      <w:r>
        <w:t>https://mcp.opencaselaw.ch/entscheid/vd_gerichte_AM22.012513</w:t>
      </w:r>
    </w:p>
    <w:p>
      <w:r>
        <w:t>FR: VD_GERICHTE AM22.012513 du 17 février 2023</w:t>
      </w:r>
    </w:p>
    <w:p>
      <w:r>
        <w:t>IT: VD_GERICHTE AM22.012513 del 17 febbraio 2023</w:t>
      </w:r>
    </w:p>
    <w:p>
      <w:pPr>
        <w:pStyle w:val="Heading2"/>
      </w:pPr>
      <w:r>
        <w:t>Erwägungen</w:t>
      </w:r>
    </w:p>
    <w:p>
      <w:r>
        <w:rPr>
          <w:b/>
        </w:rPr>
        <w:t>E. 1</w:t>
      </w:r>
    </w:p>
    <w:p>
      <w:r>
        <w:t>X.________, de nationalité suisse, divorcé, est né le [...] 1936. Retraité, il perçoit une rente mensuelle AVS de 1'544 francs. Il est propriétaire de son logement ainsi que d’un vieux chalet, qui sont francs d’hypothèque. Il n’a pas d’autre fortune ou revenu et fait l’objet de poursuites pour un montant inconnu. Son casier judiciaire suisse comporte les inscriptions suivantes : - 26.11.2015, Ministère public de l’arrondissement de l’Est vaudois : conduite d’un véhicule automobile en état d’ébriété (taux d’alcool qualifié dans le sang ou dans l’haleine) et violation simple des règles de la circulation routière ; 90 jours-amende à 30 fr. le jour, avec sursis pendant 2 ans ; - 02.02.2018, Ministère public de l’arrondissement de l’Est vaudois : conduite d’un véhicule automobile malgré le refus, le retrait ou l’interdiction de l’usage du permis, conduite d’un véhicule automobile en état d’ébriété (taux d’alcool qualifié dans le sang ou dans l’haleine), tentative d’entrave aux mesures de constatation de l’incapacité de conduire en qualité de conducteur et violation simple des règles de la circulation routière ; 80 jours-amende à 30 fr. le jour et amende de 300 fr. ; - 04.09.2020, Ministère public de l’arrondissement de l’Est vaudois : conduite d’un véhicule automobile malgré le refus, le retrait ou l’interdiction de l’usage du permis ; 120 jours-amende à 30 fr. le jour ;</w:t>
      </w:r>
    </w:p>
    <w:p>
      <w:r>
        <w:t>- 4 - - 13.05.2022, Ministère public de l’arrondissement de l’Est vaudois : violation des obligations en cas d’accident et conduite d’un véhicule automobile malgré le refus, le retrait ou l’interdiction de l’usage du permis ; 80 jours-amende à 30 fr. le jour et amende de 200 francs. Le fichier SIAC (Système d’information relatif à l’admission à la circulation) comporte à son sujet les inscriptions suivantes : - 12.08.2016 : inattention et ébriété (cas grave + accident), retrait du permis de conduire à partir du 08.08.2015 ; - 28.03.2018 : conduite malgré retrait/interdiction, ébriété et autre faute de la circulation (cas grave + accident), délai d’attente du 27.12.2017 au 26.12.2018 ; - 23.06.2020 : conduite malgré retrait/interdiction (cas grave), délai d’attente du 04.03.2020 au 03.03.2022 ; - 24.09.2020 : conduite malgré retrait/interdiction (cas grave), délai d’attente du 10.07.2020 au 09.07.2025.</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w:t>
      </w:r>
    </w:p>
    <w:p>
      <w:r>
        <w:t>- 5 - un juge unique, l’appel est traité en procédure écrite conformément à l'art. 406 al. 2 CPP, avec l’accord des parties.</w:t>
      </w:r>
    </w:p>
    <w:p>
      <w:r>
        <w:rPr>
          <w:b/>
        </w:rPr>
        <w:t>E. 2</w:t>
      </w:r>
    </w:p>
    <w:p>
      <w:r>
        <w:t>A Bex, route de la Servanne, le 27 juin 2022, vers 14h30, X.________ a circulé au volant d’un véhicule automobile alors qu’il faisait l’objet d’une mesure administrative de retrait de son permis de conduire suisse. En d roit : 1.</w:t>
      </w:r>
    </w:p>
    <w:p>
      <w:r>
        <w:rPr>
          <w:b/>
        </w:rPr>
        <w:t>E. 2.1</w:t>
      </w:r>
    </w:p>
    <w:p>
      <w:r>
        <w:t>L’appelant ne conteste que le genre de peine. Il soutient d'abord que, contrairement à ce qu'a retenu le premier juge, il avait « tiré des enseignements de ses précédentes condamnations ». Il affirme qu'il avait entrepris des démarches pour ne plus conduire « dans l'espace public » et se faire véhiculer par des proches, « sous réserve de l’exception qui fait l'objet de la présente procédure » et qui n'avait consisté qu'en un déplacement de sa voiture sur quelque 200 à 300 mètres entre l'endroit où son chauffeur du jour l'avait déposé et celui où il devait le reprendre. L'appelant soutient par ailleurs que son état de santé serait incompatible avec une détention, parce qu'il doit être suivi par un spécialiste ensuite d'une opération d'une hernie inguinale subie à l'été 2022 et parce qu'il a des problèmes d'ouïe « qui rendent son quotidien compliqué lorsqu'il est confronté à des interlocuteurs qui ne sont pas sensibilisés à cette problématique ». D'une manière générale, son grand âge le rendrait plus sensible à une peine privative de liberté. Il évoque ses propres inquiétudes face à « un environnement inhospitalier », celles de ses proches, une perte de lien avec les proches dont il dépend au quotidien et sa réputation ternie alors qu'il a toujours été un « travailleur acharné », « dévoué et honnête citoyen », qui faisait « face, seul, aux écueils de la vie ».</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- 6 -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1 169 ; ATF 141 IV 61 consid. 6.1.1 ; TF 6B_631/2021 du 7 février 2022 consid. 1.1).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alii, Petit commentaire du Code pénal, 2e éd., Bâle 2017, n. 1 in fine ad art. 41 CP). La condition de l'art. 41 al. 1 let. b CP reflète la subsidiarité de la peine privative de liberté (Dupuis et alii,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w:t>
      </w:r>
    </w:p>
    <w:p>
      <w:r>
        <w:t>- 7 -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2.3</w:t>
      </w:r>
    </w:p>
    <w:p>
      <w:r>
        <w:t>Le tribunal de police a considéré que la culpabilité du prévenu, aux nombreux antécédents d’infractions aux règles de la circulation routière, était relativement lourde, dès lors qu'il avait repris le volant malgré un retrait de permis à peine un mois après sa dernière condamnation et qu'il ne semblait pas prendre conscience de la gravité de son comportement, n'ayant en particulier exprimé aucun regret. A décharge, le tribunal a tenu compte de l'admission des faits et de l'âge du prévenu. Les précédentes condamnations à des peines pécuniaires étant restées sans effet, il a opté pour une peine privative de liberté, ferme, vu le risque de récidive. L’appelant ne demande pas le sursis, ce qui signifie qu'il ne conteste pas que le pronostic soit défavorable. Le « chauffeur » allégué du jour litigieux, entendu comme témoin (jgt, p. 5), qui est né en 1953 et</w:t>
      </w:r>
    </w:p>
    <w:p>
      <w:r>
        <w:t>- 8 - n’est donc pas tout jeune, a des troubles de la mémoire et ne se souvient pas s'il était effectivement avec le prévenu le 27 juin 2022, de sorte que les allégations de l'appelant ne sont pas entièrement établies. Si le prévenu a des problèmes de santé, ceux-ci ne l'empêchent manifestement pas de continuer à « s'affairer » sur ses terres et à y conduire des engins agricoles, puisqu'il l'allègue dans sa déclaration d'appel. Il ne prétend pas devoir être vu tous les mois par son chirurgien, de sorte qu'une détention de 45 jours ne devrait pas affecter son suivi médical. Des problèmes d'ouïe ne sont pas non plus un empêchement dirimant à une peine de prison, pas plus qu'être myope par exemple. De même, les arguments liés à l'âge paraissent mal fondés, vu la brièveté de la peine qui devrait d'ailleurs pouvoir prendre la forme d'arrêts domiciliaires. L'« honnête citoyen » a tout de même quatre condamnations pour des infractions à la LCR à son casier judiciaire, pour la seule période de 2015-2022, dont déjà trois condamnations pour conduite alors qu’il n’était pas titulaire du permis de conduire. Dans ces conditions, seul le prononcé d’une peine privative de liberté apparaît suffisamment dissuasif pour que l’appelant ne reprenne plus le volant. C’est donc à bon droit que le premier juge a prononcé une peine privative de liberté ferme de 45 jours.</w:t>
      </w:r>
    </w:p>
    <w:p>
      <w:r>
        <w:rPr>
          <w:b/>
        </w:rPr>
        <w:t>E. 3</w:t>
      </w:r>
    </w:p>
    <w:p>
      <w:r>
        <w:t>Il résulte de ce qui précède que l’appel, manifestement mal fondé, doit être rejeté sans échange d’écritures (art. 390 al. 2 CPP par renvoi de l’art. 406 al. 4 CPP) et le jugement entrepris confirmé. Les frais de la procédure d’appel, par 770 fr. (art. 21 al. 1 TFIP [tarif des frais de procédure et indemnités en matière pénale du 28 septembre 2010 ; BLV 312.03.1]), seront mis à la charge de l’appelant, qui succombe (art. 428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