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AM22.005096 vom 15. August 2023</w:t>
      </w:r>
    </w:p>
    <w:p>
      <w:r>
        <w:t>VD Tribunal cantonal, 2023-08-15, FR</w:t>
      </w:r>
    </w:p>
    <w:p>
      <w:r>
        <w:rPr>
          <w:b/>
        </w:rPr>
        <w:t xml:space="preserve">Quelle: </w:t>
      </w:r>
      <w:r>
        <w:t>https://mcp.opencaselaw.ch/entscheid/vd_gerichte_AM22.005096</w:t>
      </w:r>
    </w:p>
    <w:p>
      <w:r>
        <w:t>FR: VD_GERICHTE AM22.005096 du 15 août 2023</w:t>
      </w:r>
    </w:p>
    <w:p>
      <w:r>
        <w:t>IT: VD_GERICHTE AM22.005096 del 15 agosto 2023</w:t>
      </w:r>
    </w:p>
    <w:p>
      <w:pPr>
        <w:pStyle w:val="Heading2"/>
      </w:pPr>
      <w:r>
        <w:t>Erwägungen</w:t>
      </w:r>
    </w:p>
    <w:p>
      <w:r>
        <w:rPr>
          <w:b/>
        </w:rPr>
        <w:t>E. 29</w:t>
      </w:r>
    </w:p>
    <w:p>
      <w:r>
        <w:t>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consid. 1.1.2 ; TF 6B_324/2019 du 24 avril 2019 consid. 3.1). L'abus de droit ne doit toutefois être retenu qu'avec réserve. Il s'agit, dans chaque cas, d'examiner, au regard des circonstances de l'espèce, si la demande de</w:t>
      </w:r>
    </w:p>
    <w:p>
      <w:r>
        <w:t>- 5 -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précité consid. 1.1 ; TF 6B_1261/2018 du 19 mars 2019 consid. 2.2).</w:t>
      </w:r>
    </w:p>
    <w:p>
      <w:r>
        <w:t>- 6 - 2. En l’espèce, le requérant se prévaut du fait que les circonstances entourant l’événement du 19 février 2022 ne coïncideraient pas avec l’infraction d’instigation à l’induction de la justice en erreur. Il expose que les faits n’ont pas été correctement retenus par le Ministère public, sans apporter toutefois plus de détails. Le requérant relève également que les conséquences de sa condamnation ainsi que de celle de son épouse sont extrêmement préjudiciables pour leur famille. Les griefs invoqués par le requérant ne constituent pas des motifs de révision. Le requérant ne soulève en effet aucun fait nouveau pertinent et n’indique pas quels éléments n’auraient pas été pris en compte par le Ministère public dans l’établissement des faits. S’agissant des conséquences familiales, même si ces dernières sont certes dommageables, elles découlent des condamnations et sont donc postérieures à l’ordonnance pénale. Il ne s’agit donc pas de faits ou de moyens de preuve nouveaux au sens de l’art. 410 al. 1 let. a CPP. 3. Il s’ensuit que la demande de révision déposée par H.________ doit être déclarée irrecevable, sans échange d’écritures (art. 412 al. 2 et 3 CPP).</w:t>
      </w:r>
    </w:p>
    <w:p>
      <w:r>
        <w:t>- 7 - Les frais de la procédure de révision, constitués du seul émolument d'arrêt, par 550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