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AM22.000231 vom 14. Juli 2022</w:t>
      </w:r>
    </w:p>
    <w:p>
      <w:r>
        <w:t>VD Tribunal cantonal, 2022-07-14, FR</w:t>
      </w:r>
    </w:p>
    <w:p>
      <w:r>
        <w:rPr>
          <w:b/>
        </w:rPr>
        <w:t xml:space="preserve">Quelle: </w:t>
      </w:r>
      <w:r>
        <w:t>https://mcp.opencaselaw.ch/entscheid/vd_gerichte_AM22.000231</w:t>
      </w:r>
    </w:p>
    <w:p>
      <w:r>
        <w:t>FR: VD_GERICHTE AM22.000231 du 14 juillet 2022</w:t>
      </w:r>
    </w:p>
    <w:p>
      <w:r>
        <w:t>IT: VD_GERICHTE AM22.000231 del 14 luglio 2022</w:t>
      </w:r>
    </w:p>
    <w:p>
      <w:pPr>
        <w:pStyle w:val="Heading2"/>
      </w:pPr>
      <w:r>
        <w:t>Erwägungen</w:t>
      </w:r>
    </w:p>
    <w:p>
      <w:r>
        <w:rPr>
          <w:b/>
        </w:rPr>
        <w:t>E. 1.1</w:t>
      </w:r>
    </w:p>
    <w:p>
      <w:r>
        <w:t>Le recours s’exerce par le dépôt d’un mémoire écrit et dûment motivé (art. 390 al. 1 et 396 al. 1 CPP [Code de procédure pénale suisse du 5 octobre 2007 ; RS 312.0]). Selon l’art. 385 al. 1 CPP, la personne ou l’autorité qui recourt doit indiquer précisément les points de la décision qu’elle attaque (let. a), les motifs qui commandent une autre décision (let. b) et les moyens de preuves qu’elle invoque (let. c). L’art. 385 al. 2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w:t>
      </w:r>
    </w:p>
    <w:p>
      <w:r>
        <w:rPr>
          <w:b/>
        </w:rPr>
        <w:t>E. 1.2</w:t>
      </w:r>
    </w:p>
    <w:p>
      <w:r>
        <w:t>En l’espèce, l’acte déposé par K.________, s’il se réfère à l’ordonnance de non-entrée en matière rendue le 13 avril 2022 par le Ministère public de l’arrondissement de Lausanne, se borne à contester des faits dont il n’a pas été reconnu coupable. Cet écrit ne contient aucune conclusion ni argumentation, de sorte qu’il ne permet pas de comprendre s’il s’agit bien d’un recours et, le cas échéant, les points de la décision qui seraient attaqués et les motifs qui commanderaient une autre décision. K.________ n’a pas fourni de précisions dans le délai imparti à cet effet, de sorte que s’il fallait considérer qu’il avait la volonté de recourir contre l’ordonnance du 13 avril 2022, le recours serait irrecevable, faute</w:t>
      </w:r>
    </w:p>
    <w:p>
      <w:r>
        <w:t>- 4 - de satisfaire aux exigences de motivation de l'art. 385 al. 1 CPP. Au surplus, il n’aurait pas d’intérêt juridiquement protégé à recourir contre une décision qui lui est favorable (art. 382 al. 1 CPP).</w:t>
      </w:r>
    </w:p>
    <w:p>
      <w:r>
        <w:rPr>
          <w:b/>
        </w:rPr>
        <w:t>E. 2</w:t>
      </w:r>
    </w:p>
    <w:p>
      <w:r>
        <w:t>Au vu de ce qui précède, le recours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 K.________,</w:t>
      </w:r>
    </w:p>
    <w:p>
      <w:r>
        <w:t>- 5 - - Ministère public central, et communiqué à : - Mme la Procureure de l’arrondissement de Lausanne, - Secrétariat d’Etat aux Migrations (SEM),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