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AM21.017495 vom 15. Januar 2024</w:t>
      </w:r>
    </w:p>
    <w:p>
      <w:r>
        <w:t>VD Tribunal cantonal, 2024-01-15, FR</w:t>
      </w:r>
    </w:p>
    <w:p>
      <w:r>
        <w:rPr>
          <w:b/>
        </w:rPr>
        <w:t xml:space="preserve">Quelle: </w:t>
      </w:r>
      <w:r>
        <w:t>https://mcp.opencaselaw.ch/entscheid/vd_gerichte_AM21.017495</w:t>
      </w:r>
    </w:p>
    <w:p>
      <w:r>
        <w:t>FR: VD_GERICHTE AM21.017495 du 15 janvier 2024</w:t>
      </w:r>
    </w:p>
    <w:p>
      <w:r>
        <w:t>IT: VD_GERICHTE AM21.017495 del 15 gennaio 2024</w:t>
      </w:r>
    </w:p>
    <w:p>
      <w:pPr>
        <w:pStyle w:val="Heading2"/>
      </w:pPr>
      <w:r>
        <w:t>Erwägungen</w:t>
      </w:r>
    </w:p>
    <w:p>
      <w:r>
        <w:rPr>
          <w:b/>
        </w:rPr>
        <w:t>E. 1</w:t>
      </w:r>
    </w:p>
    <w:p>
      <w:r>
        <w:t>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Aux termes de l’art. 411 CPP, les demandes de révision doivent être motivées et adressées par écrit à la juridiction d’appel. Les motifs de révision doivent être exposés et justifiés dans la demande (al. 1). La demande de révision visée à l'art. 410 al. 1 let. a CPP n'est soumise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w:t>
      </w:r>
    </w:p>
    <w:p>
      <w:r>
        <w:t>- 4 -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 Les conditions d’une révision visant une ordonnance pénale sont particulièrement restrictives. En effet, l’ordonnance pénale est rendue dans le cadre d’une procédure spéciale (art. 352 ss CPP), qui a pour particularité de contraindre le condamné à prendre position. Une</w:t>
      </w:r>
    </w:p>
    <w:p>
      <w:r>
        <w:t>- 5 -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 TF 6B_662/2019 du 23 août 2019 consid. 1.1 ; TF 6B_1261/2018 du 19 mars 2019 consid. 2.2).</w:t>
      </w:r>
    </w:p>
    <w:p>
      <w:r>
        <w:rPr>
          <w:b/>
        </w:rPr>
        <w:t>E. 2</w:t>
      </w:r>
    </w:p>
    <w:p>
      <w:r>
        <w:t>Le requérant indique qu’il disposerait d’un nouveau moyen de preuve, à savoir une attestation sur l’honneur du 29 novembre 2023 rédigée par P.________, dans laquelle celui-ci affirmerait avoir reçu son permis de conduire en retour dans sa boîte-aux-lettres et l’avoir présenté au requérant. L’attestation dont le requérant se prévaut ne figure pas dans le bordereau annexé à la demande de révision, mais cela ne change rien à l’appréciation qui sera opérée ci-dessous. En effet, le requérant aurait déjà pu produire cette pièce tant avec son opposition du 19 octobre 2021 qu’au cours de l’audience du Ministère public du 31 mars 2022 ; or il ne s’est pas présenté à cette audience ni n’a recouru contre le prononcé du Ministère public du 1er avril 2022 prononçant le retrait de son opposition et l’entrée en force de l’ordonnance pénale du 15 octobre 2021, ce qui équivaut à un</w:t>
      </w:r>
    </w:p>
    <w:p>
      <w:r>
        <w:t>- 6 - acquiescement de sa part. En d’autres termes, le requérant ne peut pas, parce que sa peine pécuniaire de 30 jours-amende à 80 fr. le jour a finalement été convertie sous la forme de la semi-détention, faire valoir un moyen de preuve qu’il n’a pas produit en temps voulu en raison de sa propre négligence. Il résulte de ce qui précède que le requérant ne présente aucun fait ou moyen de preuve nouveau et sérieux propre à ébranler les constatations de fait sur lesquelles s'est fondée sa condamnation du 15 octobre 2021. La demande de révision doit par conséquent être déclarée irrecevable (art. 412 al. 2 CPP).</w:t>
      </w:r>
    </w:p>
    <w:p>
      <w:r>
        <w:rPr>
          <w:b/>
        </w:rPr>
        <w:t>E. 3</w:t>
      </w:r>
    </w:p>
    <w:p>
      <w:r>
        <w:t>Vu l’issue de la cause, les frais de la procédure de révision, par 550 fr. (art. 21 al. 1 TFIP [tarif des frais de procédure et indemnités en matière pénale du 28 septembre 2010 ; BLV 312.03.1] par renvoi de l’art. 22 TFIP),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