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AM21.013482 vom 24. November 2022</w:t>
      </w:r>
    </w:p>
    <w:p>
      <w:r>
        <w:t>VD Tribunal cantonal, 2022-11-24, FR</w:t>
      </w:r>
    </w:p>
    <w:p>
      <w:r>
        <w:rPr>
          <w:b/>
        </w:rPr>
        <w:t xml:space="preserve">Quelle: </w:t>
      </w:r>
      <w:r>
        <w:t>https://mcp.opencaselaw.ch/entscheid/vd_gerichte_AM21.013482</w:t>
      </w:r>
    </w:p>
    <w:p>
      <w:r>
        <w:t>FR: VD_GERICHTE AM21.013482 du 24 novembre 2022</w:t>
      </w:r>
    </w:p>
    <w:p>
      <w:r>
        <w:t>IT: VD_GERICHTE AM21.013482 del 24 novembre 2022</w:t>
      </w:r>
    </w:p>
    <w:p>
      <w:pPr>
        <w:pStyle w:val="Heading2"/>
      </w:pPr>
      <w:r>
        <w:t>Erwägungen</w:t>
      </w:r>
    </w:p>
    <w:p>
      <w:r>
        <w:rPr>
          <w:b/>
        </w:rPr>
        <w:t>E. 30</w:t>
      </w:r>
    </w:p>
    <w:p>
      <w:r>
        <w:t>km/h et j’ai observé à gauche et à droite. Sur ma droite, j’ai vu une voiture qui circulait de [...] en direction de [...] sur l’avenue [...]. Au vu de sa distance avec l’intersection, j’ai continué ma route normalement sur l’avenue [...] […] ». Il a donc bien vu le véhicule « Mini Cooper », prioritaire, arriver sur sa droite. Certes celui-ci roulait trop vite. Toutefois, l’appelant se fourvoie en soutenant que la cause de l’accident serait imputable à la vitesse excessive de ce véhicule. L’excès était moindre, le conducteur ayant évalué sa propre vitesse à 55 km/h (P. 4, p. 5) et ayant été condamné pour violation simple des règles de la circulation routière à une amende d’ordre de 40 fr. (P. 13). L’appelant se trompe également en se prévalant du principe de la confiance et du prétendu comportement imprévisible du conducteur du véhicule « Mini Cooper ». La jurisprudence qu’il cite à cet égard ne lui est d’aucun secours en l’espèce, puisque force est d’admettre qu’il n’a pas correctement évalué la situation et ne s’est lui-même pas comporté réglementairement en violant le droit de priorité. Le témoin [...] (P. 4, p. 6), qui circulait derrière le véhicule de l’appelant, ne permet pas de retenir autre chose. Il a vu ce dernier s’engager alors que le véhicule « Mini Cooper » arrivait rapidement sur la droite. Il appartenait ainsi à S.________, débiteur de priorité, de ne pas « gêner » – le terme confine ici à l’euphémisme au vu du résultat – le véhicule arrivant sur sa droite, même à une vitesse légèrement excessive. Sauf à considérer que le véhicule prioritaire aurait accéléré, ce qui n’est ni imaginable, ni même plaidé, l’appelant est responsable de l’accident qui s’est produit. Enfin, comme l’a retenu à juste titre le premier juge (cf. jugement du 24 novembre 2022, p. 7), on ne peut rien déduire des dommages</w:t>
      </w:r>
    </w:p>
    <w:p>
      <w:r>
        <w:t>- 9 - considérables sur les véhicules dès lors que ceux-ci sont conçus pour absorber les chocs afin de préserver l’habitacle. S.________ s’est ainsi bien rendu coupable de contravention à l’art. 90 al. 1 LCR pour avoir enfreint les art. 36 al. 2 LCR et 14 al. 1 OCR. 3.3 3.3.1 L’appelant requiert enfin l’application de l’art. 54 CP. 3.3.2 A teneur de l’art. 54 CP, si l’auteur a été directement atteint par les conséquences de son acte au point qu’une peine serait inappropriée, l’autorité compétente renonce à le poursuivre, à le renvoyer devant le juge ou à lui infliger une peine. Sont visées les conséquences directes de l'acte, à savoir celles qui sont survenues lors de l'exécution de l'acte ou sont étroitement liées au résultat de l'acte. Est notamment atteint directement par les conséquences de son acte, celui qui subit des lésions physiques ou psychiques causées à l'occasion d'un accident qu'il a provoqué (ATF 119 IV 280 consid. 2b). Une exemption de peine se justifie lorsque l'auteur paraît déjà suffisamment puni et que la fonction compensatrice de la peine est déjà réalisée (ATF 137 IV 105 consid. 2.3). Pour déterminer si une peine serait disproportionnée, il convient de mettre en balance les conséquences de l'acte et la faute de l'auteur. Ainsi, l'art. 54 CP peut s'appliquer dans le cas où une faute légère a entraîné des conséquences directes très lourdes pour l'auteur et à l'inverse, ne doit pas être appliqué lorsqu'une faute grave n'a entraîné que des conséquences légères pour l'auteur. Le juge doit prendre sa décision en analysant in concreto les circonstances du cas et il dispose d'un large pouvoir d'appréciation (ATF 121 IV 162 consid. 2d, JdT 1997 IV 12 ; ATF 117 IV 245 consid. 2a, JdT 1993 IV 96, JdT 1992 I 772, SJ 1992 541 ; TF 6B_515/2019 du 11 juin 2019 consid. 2.1 ; cf. TF 6B_442/2014 du 18 juillet 2014 consid. 2.1 ; TF 6B_107/2012 du 25 avril 2012 consid. 3.1).</w:t>
      </w:r>
    </w:p>
    <w:p>
      <w:r>
        <w:t>- 10 - 3.3.3 En l’espèce, l’appelant soutient avoir subi des répercussions psychiques liées au choc de l’accident, ainsi que matérielles, son véhicule ayant été entièrement détruit, ce qui devrait conduire, selon lui, à l’exempter de toute peine. Tout d’abord, il n’établit pas que l’accident l’aurait atteint dans sa santé psychique. Il ne produit aucune pièce, comme un certificat médical par exemple, qui permettrait d’étayer un tant soit peu ses dires. Si l’on peut imaginer que l’accident qui s’est produit ait pu impressionner l’appelant, cela ne constitue pas encore une atteinte telle qu’il serait inapproprié de le poursuivre au sens de l’art. 54 CP. Quant aux dommages considérables sur son véhicule, on relèvera que, d’une part, comme déjà mentionné plus haut (cf. consid. 3.2.3 supra), ils sont inhérents à la conception actuelle des automobiles, et, d’autre part, ils ne constituent pas une conséquence très lourde pour l’appelant par rapport à la faute commise. On rappellera qu’il s’en est sorti physiquement indemne, tout comme le conducteur du véhicule prioritaire. Là encore, une renonciation aux poursuites pénales ne se justifie pas. 4. En définitive, l’appel doit être rejeté et le jugement entrepris confirmé. Les frais de la procédure d’appel, constitués en l’espèce du seul émolument de jugement, par 810 fr. (art. 21 al. 1 TFIP [Tarif des frais de procédure et indemnités en matière pénale du 28 septembre 2010 ; BLV 312.03.1]), seront mis à la charge de l’appelant, qui succombe (art. 428 al. 1 CPP). Vu le sort de l’appel, il n’y a pas lieu à l’allocation d’une indemnité au sens de l’art. 429 CPP.</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