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AM21.013087 vom 8. November 2023</w:t>
      </w:r>
    </w:p>
    <w:p>
      <w:r>
        <w:t>VD Tribunal cantonal, 2023-11-08, FR</w:t>
      </w:r>
    </w:p>
    <w:p>
      <w:r>
        <w:rPr>
          <w:b/>
        </w:rPr>
        <w:t xml:space="preserve">Quelle: </w:t>
      </w:r>
      <w:r>
        <w:t>https://mcp.opencaselaw.ch/entscheid/vd_gerichte_AM21.013087</w:t>
      </w:r>
    </w:p>
    <w:p>
      <w:r>
        <w:t>FR: VD_GERICHTE AM21.013087 du 8 novembre 2023</w:t>
      </w:r>
    </w:p>
    <w:p>
      <w:r>
        <w:t>IT: VD_GERICHTE AM21.013087 del 8 novembre 2023</w:t>
      </w:r>
    </w:p>
    <w:p>
      <w:pPr>
        <w:pStyle w:val="Heading2"/>
      </w:pPr>
      <w:r>
        <w:t>Erwägungen</w:t>
      </w:r>
    </w:p>
    <w:p>
      <w:r>
        <w:rPr>
          <w:b/>
        </w:rPr>
        <w:t>E. 1.1</w:t>
      </w:r>
    </w:p>
    <w:p>
      <w:r>
        <w:t>Originaire de [...] (BE), J.________ est né le [...] 1998 à Lausanne. Son parcours de vie a été retracé par les experts psychiatres qui ont été mis en œuvre par la Justice de paix dans le cadre de l’institution d’une mesure de protection, dans un rapport établi le 19 avril 2023, auquel il peut être renvoyé (P. 31). D’origine suisse par sa mère et nigériane par son père, J.________ a vécu les cinq premières années de sa vie en Angleterre, jusqu’à ce que ses parents se séparent et qu’il suive sa mère lors de son retour en Suisse. Rencontrant des difficultés dès l’enfance, il a bénéficié d’un soutien psychologique. Son parcours scolaire, qu’il n’a pas formellement achevé puisqu’il n’a pas obtenu de certificat de fin d’études, a parfois été compliqué, émaillé de bagarres avec d’autres élèves. A l’âge de 15-16 ans, il a séjourné au foyer [...], à la demande de sa mère et de son assistante sociale. Par la suite, mis à part le temps d’un séjour en Egypte, il n’a eu de cesse de commettre des petits délits, qui lui ont valu d’effectuer au moins deux séjours en détention. Il bénéficie depuis peu d’une curatelle de gestion et de représentation, et vit auprès de sa mère. Sans activité, il perçoit le revenu d’insertion. S’il a fait état, aux débats de première instance, de la possibilité d’entreprendre une formation professionnelle avec l’aide de son assistante sociale, le projet reste pour le moins vague et tout laisse à penser que la volonté nécessaire pour mener à chef un tel projet fait défaut, comme cela a été le cas lors de ses précédentes tentatives.</w:t>
      </w:r>
    </w:p>
    <w:p>
      <w:r>
        <w:rPr>
          <w:b/>
        </w:rPr>
        <w:t>E. 1.2</w:t>
      </w:r>
    </w:p>
    <w:p>
      <w:r>
        <w:t>Le casier judiciaire suisse de J.________ fait état des condamnations suivantes : - 13 décembre 2016, Ministère public de l’arrondissement de Lausanne : peine pécuniaire de 90 jours-amende à 20 fr. le jour avec sursis pendant trois ans et amende de 480 fr., sous déduction de deux jours de détention provisoire, pour vol, dommages à la propriété, injure,</w:t>
      </w:r>
    </w:p>
    <w:p>
      <w:r>
        <w:t>- 7 - violation de domicile, violence ou menace contre les autorités et les fonctionnaires et contravention à la loi fédérale sur les stupéfiants (LStup ; RS 812.121) ; délai d’épreuve prolongé d’un an le 15 mai 2018 ; - 15 mai 2018, Ministère public de l’arrondissement de Lausanne : peine privative de liberté de 40 jours et amende de 400 fr. pour lésions corporelles simples, voies de fait, violation de domicile et infraction à la loi fédérale sur les armes (LArm ; RS 514.54) ; - 8 avril 2019, Ministère public de l’arrondissement de Lausanne : peine privative de liberté de 90 jours avec sursis pendant cinq ans et amende de 300 fr. pour violation simple des règles de la circulation routière, opposition ou dérobade aux mesures visant à déterminer l’incapacité de conduire, violation des obligations en cas d’accident, conduite d’un véhicule automobile sans le permis de conduire requis et contravention à l’ordonnance réglant l’admission des personnes et des véhicules à la circulation routière (OAC ; RS 741.51).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Invoquant une violation de la présomption d’innocence et une constatation inexacte et incomplète des faits, l’appelant conteste être l’auteur des faits qui lui sont reprochés. Il soutient que la description de</w:t>
      </w:r>
    </w:p>
    <w:p>
      <w:r>
        <w:t>- 9 - l’auteur établie sur la base des images de vidéosurveillance du parking serait trop générique et stéréotypée pour permettre de l’identifier formellement, et relève qu’aucun des prélèvements ADN réalisés dans le véhicule ne l’incriminerait.</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w:t>
      </w:r>
    </w:p>
    <w:p>
      <w:r>
        <w:t>- 10 -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w:t>
      </w:r>
    </w:p>
    <w:p>
      <w:r>
        <w:t>- 11 -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3.3</w:t>
      </w:r>
    </w:p>
    <w:p>
      <w:r>
        <w:t>Le Tribunal de police a retenu que, quand bien même la qualité des photographies prises par les caméras de surveillance du parking du Palais de Beaulieu n’était pas parfaite, elle était suffisante pour identifier le prévenu, précisant que ce constat était corroboré par ses propres constatations visuelles lors des débats et relevant que le prévenu avait lui-même reconnu l’existence d’une forte ressemblance. Le premier juge a en outre relevé que le prévenu avait admis s’être déjà rendu dans le parking en cause avec des amis et qu’il avait été interpellé seize jours après les faits au même endroit, ce qui n’était pas anodin. Il a ainsi considéré que s’il subsistait un doute, celui-ci était impropre à ébranler sa conviction que le prévenu s’était bien rendu coupable des faits qui lui étaient reprochés, lesquels s’inscrivaient d’ailleurs dans la droite ligne des différents larcins commis par l’intéressé durant les dernières années. L’appréciation des preuves faite par le premier juge n’est pas critiquable et sa conviction quant à la culpabilité de l’appelant doit être partagée. On peut en effet se convaincre sans le moindre doute que les images de vidéosurveillance prises au moment des faits et les photographies prises lors de l’interpellation du prévenu représentent la même personne, étant relevé que celui-ci a déjà commis ce type d’infractions par le passé et qu’il a admis s’être déjà rendu sur les lieux des faits, à proximité desquels il a du reste été interpellé. Le moyen doit donc être rejeté et la condamnation de l’appelant à raison des faits retenus au considérant 2 ci-dessus pour vol, violation simple des règles de la circulation routière, entrave aux mesures de constatation de l’incapacité de conduire, vol d’usage d’un véhicule automobile et conduite d’un véhicule automobile sans le permis de</w:t>
      </w:r>
    </w:p>
    <w:p>
      <w:r>
        <w:t>- 12 - conduire requis doit être confirmée, les qualifications juridiques de ces infractions n’étant à juste titre pas remises en cause.</w:t>
      </w:r>
    </w:p>
    <w:p>
      <w:r>
        <w:rPr>
          <w:b/>
        </w:rPr>
        <w:t>E. 4.1</w:t>
      </w:r>
    </w:p>
    <w:p>
      <w:r>
        <w:t>A titre subsidiaire, l’appelant invoque une violation de l’art. 19 CP (Code pénal suisse du 21 décembre 1937 ; RS 311.0). Il relève que le rapport d’expertise versé au dossier attesterait aussi bien de son inaptitude à apprécier pleinement le caractère illicite de ses actes que d’une altération de sa capacité à se déterminer d’après cette appréciation. Il reproche au premier juge de s’être écarté des conclusions de l’expertise sans aucun motif et soutient que la peine prononcée à son encontre devrait être atténuée dans une large mesure pour prendre en compte l’altération de sa capacité de discernement.</w:t>
      </w:r>
    </w:p>
    <w:p>
      <w:r>
        <w:rPr>
          <w:b/>
        </w:rPr>
        <w:t>E. 4.2.1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w:t>
      </w:r>
    </w:p>
    <w:p>
      <w:r>
        <w:rPr>
          <w:b/>
        </w:rPr>
        <w:t>E. 4.2.2</w:t>
      </w:r>
    </w:p>
    <w:p>
      <w:r>
        <w:t>Selon l'art. 19 al. 2 CP, le juge atténue la peine si, au moment d'agir, l'auteur ne possédait que partiellement la faculté d'apprécier le caractère illicite de son acte ou de se déterminer d'après cette appréciation.</w:t>
      </w:r>
    </w:p>
    <w:p>
      <w:r>
        <w:t>- 13 -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4.2.3</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(art. 41 al. 2 CP). Le choix de la sanction doit être opéré en tenant compte au premier chef de l'adéquation de la peine, de ses effets sur l'auteur et sur sa situation sociale ainsi que de son efficacité du point de vue de la prévention (ATF 147 IV 241 consid. 3.2 ; ATF 144 IV 313 consid. 1.1.1 et les références citées ; TF 6B_95/2023 du 12 juillet 2023 consid. 1.1).</w:t>
      </w:r>
    </w:p>
    <w:p>
      <w:r>
        <w:t>- 14 -</w:t>
      </w:r>
    </w:p>
    <w:p>
      <w:r>
        <w:rPr>
          <w:b/>
        </w:rPr>
        <w:t>E. 4.2.4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précité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t>- 15 -</w:t>
      </w:r>
    </w:p>
    <w:p>
      <w:r>
        <w:rPr>
          <w:b/>
        </w:rPr>
        <w:t>E. 4.2.5</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 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(ATF 145 IV 146 consid. 2.4; TF 6B_444/2023 précité ; TF 6B_386/2022 du 20 décembre 2022</w:t>
      </w:r>
    </w:p>
    <w:p>
      <w:r>
        <w:t>- 16 - consid. 5.1).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précité).</w:t>
      </w:r>
    </w:p>
    <w:p>
      <w:r>
        <w:rPr>
          <w:b/>
        </w:rPr>
        <w:t>E. 4.3</w:t>
      </w:r>
    </w:p>
    <w:p>
      <w:r>
        <w:t>Pour fixer la peine, le premier juge a appliqué les principes posés à l’art. 47 CP. A titre de circonstances atténuantes, il a retenu le jeune âge du prévenu et l’immaturité mise en lumière par l’expertise civile. Qualifiant sa culpabilité de moyennement importante et retenant un pronostic défavorable, il a estimé que le sursis accordé au prévenu le</w:t>
      </w:r>
    </w:p>
    <w:p>
      <w:r>
        <w:rPr>
          <w:b/>
        </w:rPr>
        <w:t>E. 8</w:t>
      </w:r>
    </w:p>
    <w:p>
      <w:r>
        <w:t>h 33 d’activité d’avocat, y compris la durée de l’audience d’appel estimée à une heure, et d’une vacation, si ce n’est pour tenir compte de la durée effective des débats d’appel et retrancher 45 minutes à ce titre. Conformément à l’art. 3bis RAJ (règlement sur l’assistance judiciaire en matière civile du 7 décembre 2010 ; BLV 211.02.3), applicable par renvoi de l’art. 26b TFIP (tarif des frais de procédure et indemnités en matière pénale du 28 septembre 2010 ; BLV 312.03.1), les débours seront</w:t>
      </w:r>
    </w:p>
    <w:p>
      <w:r>
        <w:t>- 21 - indemnisés sur une base forfaitaire à concurrence de 2 % du montant des honoraires admis, vacation et TVA en sus. C’est ainsi une indemnité de 1'673 fr. 70, correspondant à 7 h 48 d’activité d’avocat au tarif horaire de 180 fr., par 1’404 fr., à des débours forfaitaires à hauteur de 28 fr. 08, à une vacation à 120 fr. et à des montants correspondants à la TVA au taux de 7,7 % s’agissant des opérations effectuées entre le 13 novembre et le 26 décembre 2023, par 78 fr. 93, et au taux de 8,1 % s’agissant des opérations postérieures au 1er janvier 2024, par 42 fr. 69, qui sera allouée à Me Bertrand Demierre pour la procédure d’appel. 7.2 Vu l’issue de la cause, les frais de la procédure d’appel, par 3'943 fr. 70, constitués en l’espèce de l'émolument de jugement, par 2’270 fr. (art. 21 al. 1 et 2 TFIP), ainsi que de l’indemnité allouée au défenseur d’office de l’appelant, par 1'673 fr. 70, seront mis par moitié, soit par 1’971 fr. 85, à la charge de l’appelant, le solde étant laissé à la charge de l’Etat (art. 428 al. 1 CPP). J.________ sera tenu de rembourser à l’Etat la part mise à sa charge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