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AM21.002741 vom 29. November 2021</w:t>
      </w:r>
    </w:p>
    <w:p>
      <w:r>
        <w:t>VD Tribunal cantonal, 2021-11-29, FR</w:t>
      </w:r>
    </w:p>
    <w:p>
      <w:r>
        <w:rPr>
          <w:b/>
        </w:rPr>
        <w:t xml:space="preserve">Quelle: </w:t>
      </w:r>
      <w:r>
        <w:t>https://mcp.opencaselaw.ch/entscheid/vd_gerichte_AM21.002741</w:t>
      </w:r>
    </w:p>
    <w:p>
      <w:r>
        <w:t>FR: VD_GERICHTE AM21.002741 du 29 novembre 2021</w:t>
      </w:r>
    </w:p>
    <w:p>
      <w:r>
        <w:t>IT: VD_GERICHTE AM21.002741 del 29 novembre 2021</w:t>
      </w:r>
    </w:p>
    <w:p>
      <w:pPr>
        <w:pStyle w:val="Heading2"/>
      </w:pPr>
      <w:r>
        <w:t>Erwägungen</w:t>
      </w:r>
    </w:p>
    <w:p>
      <w:r>
        <w:rPr>
          <w:b/>
        </w:rPr>
        <w:t>E. 2</w:t>
      </w:r>
    </w:p>
    <w:p>
      <w:r>
        <w:t>Dans la mesure où le recourant, reconnaissant expressément recourir tardivement, expose avoir été empêché d’agir à temps pour des raisons médicales, son acte peut en réalité être interprété comme une requête de restitution du délai de recours.</w:t>
      </w:r>
    </w:p>
    <w:p>
      <w:r>
        <w:rPr>
          <w:b/>
        </w:rPr>
        <w:t>E. 2.1</w:t>
      </w:r>
    </w:p>
    <w:p>
      <w:r>
        <w:t>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La restitution de délai suppose que la partie ou son mandataire a été empêché d'agir sans faute dans le délai fixé (ATF 143 I 284 consid. 1.3 ;</w:t>
      </w:r>
    </w:p>
    <w:p>
      <w:r>
        <w:t>- 7 -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 Reymond, Code de procédure pénale, Petit commentaire, 2e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w:t>
      </w:r>
    </w:p>
    <w:p>
      <w:r>
        <w:rPr>
          <w:b/>
        </w:rPr>
        <w:t>E. 2.2</w:t>
      </w:r>
    </w:p>
    <w:p>
      <w:r>
        <w:t>En l’espèce, bien qu’il se prévale d’une atteinte à sa santé l’ayant empêché d’agir en temps utile, le recourant ne rend aucunement vraisemblable cet empêchement, puisqu’il a omis d’annexer à son acte du 19 novembre 2021 le certificat médical qu’il invoque. Au demeurant, cet acte ne contient aucune motivation en fait et en droit dirigée contre les motifs retenus dans le prononcé attaqué, de sorte que l’acte omis n’a pas été accompli dans le délai prévu à l’art. 94 al. 1 CPP, en violation de ce que prévoit l’alinéa 2 de cette disposition.</w:t>
      </w:r>
    </w:p>
    <w:p>
      <w:r>
        <w:rPr>
          <w:b/>
        </w:rPr>
        <w:t>E. 3</w:t>
      </w:r>
    </w:p>
    <w:p>
      <w:r>
        <w:t>Au vu de ce qui précède, la requête de restitution du délai de recours doit être rejetée, et le recours doit être déclaré irrecevable, sans échange d’écritures (art. 390 al. 2 CPP).</w:t>
      </w:r>
    </w:p>
    <w:p>
      <w:r>
        <w:t>- 8 - Les frais de la procédure de recours, constitués en l'espèce du seul émolument d’arrêt, par 770 fr. (art. 20 al. 1 TFIP [Tarif des frais de procédure et indemnités en matière pénale du 28 septembre 2010; BLV 312.03.1]), seront exceptionnellement laissés à la charge de l’Etat (art. 423 al. 1 CPP). Par ces motifs, la Chambre des recours pénale prononce : I. La requête de restitution de délai est rejetée. II. Le recours est irrecevable. III. Les frais d’arrêt, par 770 fr. (sept cent septante francs), sont laissés à la charge de l’Etat. IV. L’arrêt est exécutoire. Le président : Le greffier : Du Le présent arrêt, dont la rédaction a été approuvée à huis clos, est notifié, par l'envoi d'une copie complète, à : - M. N.________, - Ministère public central,</w:t>
      </w:r>
    </w:p>
    <w:p>
      <w:r>
        <w:t>- 9 -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