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AM21.001917 vom 20. August 2021</w:t>
      </w:r>
    </w:p>
    <w:p>
      <w:r>
        <w:t>VD Tribunal cantonal, 2021-08-20, FR</w:t>
      </w:r>
    </w:p>
    <w:p>
      <w:r>
        <w:rPr>
          <w:b/>
        </w:rPr>
        <w:t xml:space="preserve">Quelle: </w:t>
      </w:r>
      <w:r>
        <w:t>https://mcp.opencaselaw.ch/entscheid/vd_gerichte_AM21.001917</w:t>
      </w:r>
    </w:p>
    <w:p>
      <w:r>
        <w:t>FR: VD_GERICHTE AM21.001917 du 20 août 2021</w:t>
      </w:r>
    </w:p>
    <w:p>
      <w:r>
        <w:t>IT: VD_GERICHTE AM21.001917 del 20 agosto 2021</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Le recourant, non assisté, exprime de manière compréhensible qu’il considère anormal qu’il doive payer les frais de la procédure (« et pour couronner le tout je dois encore payer les frais de procédure qui se montent à 830.50 Frs ») et il déclare recourir contre l’ordonnance. Il est donc compréhensible qu’il demande la réforme de l’ordonnance en ce sens que les frais de la procédure soient laissés à la charge de l’Etat. Ainsi, interjeté dans le délai légal et auprès de l’autorité compétente, par le prévenu qui a qualité pour recourir (art. 382 al. 1 CPP), et satisfaisant aux conditions de forme prescrites (art. 385 al. 1 CPP), le recours de Q.________ est recevable.</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w:t>
      </w:r>
    </w:p>
    <w:p>
      <w:r>
        <w:t>- 4 - cas, un membre de la Chambre des recours pénale est compétent pour statuer en tant que juge unique (art. 13 al. 2 LVCPP). Tel est le cas en l'espèce, puisque le recours porte exclusivement sur les effets accessoires de l’ordonnance de classement, plus particulièrement sur les frais de procédure mis à la charge du prévenu, d’un montant de 830 fr. 50. Le recours relève donc de la compétence d'un membre de la Chambre des recours pénale en tant que juge unique.</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RS 101) et 6 §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TF 6B_1458/2020 du 7 avril 2021 consid. 1.2; TF 6B_886/2018 du 31 octobre 2018 consid. 2.1.1). La relation de causalité</w:t>
      </w:r>
    </w:p>
    <w:p>
      <w:r>
        <w:t>- 5 -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respectivement l’exclusion d’une indemnité, le juge peut prendre en considération toute norme de comportement écrite ou non écrite résultant de l'ordre juridique suisse pris dans son ensemble, dans le sens d'une application par analogie des principes découlant de l'art. 41 CO (Code des obligations; RS 220). Le fait reproché doit constituer une violation claire de la norme de comportement (ATF 144 IV 202 précité; TF 6B_886/2018 précité). Si le prévenu est libéré d'un chef d'accusation et condamné pour d’autres, il sera condamné aux frais relatifs à sa condamnation et aura respectivement droit à une indemnité correspondant à son acquittement partiel (cf. Message FF 2006, p. 1313 ad art. 438 CPP [actuel art. 430 CPP]; TF 6B_300/2012 du 10 juin 2013 consid. 2.4; CREP 11 février 2019/77 consid. 2.2.2).</w:t>
      </w:r>
    </w:p>
    <w:p>
      <w:r>
        <w:rPr>
          <w:b/>
        </w:rPr>
        <w:t>E. 2.2</w:t>
      </w:r>
    </w:p>
    <w:p>
      <w:r>
        <w:t>En l’espèce, le Ministère public soutient que le recourant devrait supporter les frais de la procédure au motif qu’il a pris le risque de conduire un véhicule après avoir consommé du CBD, précisant que, quand bien même cette substance est légale, il est notoire qu’elle contient du THC et qu’une consommation importante de CBD peut entraîner une incapacité de conduire. On ne saurait suivre ce raisonnement. La consommation du CBD n’est pas interdite en soi. Il est interdit de prendre le volant en état d’incapacité de conduire, mais, et quand bien même il est notoire qu’une consommation excessive de CBD – ou d’alcool – est de nature à créer une incapacité, il n’est pas illicite de consommer de ces substances, ni même de prendre le volant en ayant consommé de ces substances si c’est en quantité assez faible pour ne pas entraîner un état d’incapacité, ce qui est le cas en l’espèce. Ainsi, contrairement à ce que soutient le Ministère</w:t>
      </w:r>
    </w:p>
    <w:p>
      <w:r>
        <w:t>- 6 - public, le recourant n’a enfreint aucune norme de l’ordre juridique suisse. Il ne saurait dès lors être condamné aux frais.</w:t>
      </w:r>
    </w:p>
    <w:p>
      <w:r>
        <w:rPr>
          <w:b/>
        </w:rPr>
        <w:t>E. 3</w:t>
      </w:r>
    </w:p>
    <w:p>
      <w:r>
        <w:t>Il résulte de ce qui précède que le recours doit être admis et l’ordonnance attaquée réformée en ce sens que les frais de procédure de 830 fr. 50 sont laissés à la charge de l’Etat. Les frais de la procédure de recours, constitués en l’espèce du seul émolument d'arrêt, par 540 fr. (art. 20 al. 1 TFIP), seront laissés à la charge de l’Etat (art. 423 al. 1 CPP). Par ces motifs, le juge unique prononce : I. Le recours est admis. II. L’ordonnance du 22 avril 2021 est réformée au chiffre II de son dispositif comme suit : « II. Laisse les frais de procédure, par 830 fr. 50, à la charge de l’Etat. ». L’ordonnance est confirmée pour le surplus. III. Les frais d’arrêt, par 540 fr. (cinq cent quarante francs), sont laissés à la charge de l’Etat. IV. L’arrêt est exécutoire. Le juge unique : Le greffier :</w:t>
      </w:r>
    </w:p>
    <w:p>
      <w:r>
        <w:t>- 7 - Du Le présent arrêt, dont la rédaction a été approuvée à huis clos, est notifié, par l'envoi d'une copie complète, à : - M.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