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AM21.000660 vom 22. Juni 2021</w:t>
      </w:r>
    </w:p>
    <w:p>
      <w:r>
        <w:t>VD Tribunal cantonal, 2021-06-22, FR</w:t>
      </w:r>
    </w:p>
    <w:p>
      <w:r>
        <w:rPr>
          <w:b/>
        </w:rPr>
        <w:t xml:space="preserve">Quelle: </w:t>
      </w:r>
      <w:r>
        <w:t>https://mcp.opencaselaw.ch/entscheid/vd_gerichte_AM21.000660</w:t>
      </w:r>
    </w:p>
    <w:p>
      <w:r>
        <w:t>FR: VD_GERICHTE AM21.000660 du 22 juin 2021</w:t>
      </w:r>
    </w:p>
    <w:p>
      <w:r>
        <w:t>IT: VD_GERICHTE AM21.000660 del 22 giugno 2021</w:t>
      </w:r>
    </w:p>
    <w:p>
      <w:pPr>
        <w:pStyle w:val="Heading2"/>
      </w:pPr>
      <w:r>
        <w:t>Erwägungen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Niggli/Heer/Wiprächtiger [éd.], Basler Kommentar, Schweizerische Strafprozess-ordnung, Jugendstrafprozessordnung, 2e éd., Bâle 2014, n. 1 ad art. 398 CPP).</w:t>
      </w:r>
    </w:p>
    <w:p>
      <w:r>
        <w:rPr>
          <w:b/>
        </w:rPr>
        <w:t>E. 3.1</w:t>
      </w:r>
    </w:p>
    <w:p>
      <w:r>
        <w:t>L'appelant réitère (cf. consid. B supra) les réquisitions de mesures d’instruction formulées en première instance, rejetées par le premier juge (jugt, p. 4).</w:t>
      </w:r>
    </w:p>
    <w:p>
      <w:r>
        <w:rPr>
          <w:b/>
        </w:rPr>
        <w:t>E. 3.1.3</w:t>
      </w:r>
    </w:p>
    <w:p>
      <w:r>
        <w:t>; ATF 141 I 60 consid. 3.3 ; TF 6B_312/2020 précité consid. 1.1).</w:t>
      </w:r>
    </w:p>
    <w:p>
      <w:r>
        <w:rPr>
          <w:b/>
        </w:rPr>
        <w:t>E. 3.2</w:t>
      </w:r>
    </w:p>
    <w:p>
      <w:r>
        <w:t>Si la juridiction d'appel jouit d'un plein pouvoir d'examen sur tous les points attaqués du jugement (art. 398 al. 2 CPP précité), la procédure se fonde néanmoins sur les preuves administrées pendant la procédure préliminaire et la procédure de première instance (art. 389 al. 1 CPP).</w:t>
      </w:r>
    </w:p>
    <w:p>
      <w:r>
        <w:t>- 6 -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6B_312/2020 du 11 mai 2020 consid. 1.1 et les réf. cit.).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effectuée est entachée d'arbitraire (cf. ATF 144 II 427 consid.</w:t>
      </w:r>
    </w:p>
    <w:p>
      <w:r>
        <w:rPr>
          <w:b/>
        </w:rPr>
        <w:t>E. 3.3</w:t>
      </w:r>
    </w:p>
    <w:p>
      <w:r>
        <w:t>En l’espèce, dès lors que le seul point litigieux réside dans la validité juridique des différents tests effectués, visant à déterminer le taux d’alcoolémie du prévenu, l’audition des dénonciateurs n’est pas susceptible d’apporter des éléments pertinents. Il en est de même de l’audition de [...] qui aurait été présent au moment des faits. Enfin, la production des documents « attestant que l’ensemble des critères fixés par l’OOCCR-OFROU » et des « prescriptions nécessaires spécifiques fixées par l’OIAA et l’OIMES ont tous été respectés » n’est pas non plus nécessaire, puisqu’il s’agit du contenu de normes légales qui seront rappelées, le cas échéant, dans le présent jugement, qui en examinera aussi l’application.</w:t>
      </w:r>
    </w:p>
    <w:p>
      <w:r>
        <w:t>- 7 -</w:t>
      </w:r>
    </w:p>
    <w:p>
      <w:r>
        <w:rPr>
          <w:b/>
        </w:rPr>
        <w:t>E. 4.1</w:t>
      </w:r>
    </w:p>
    <w:p>
      <w:r>
        <w:t>L’appelant invoque une violation de l’art. 11 OCCR en relation avec l’art. 91 al. 2 let. a LCR et soutient que les preuves concernant son taux d’alcoolémie ont été obtenues illicitement, la pièce 4 du dossier et ses annexes devant ainsi être retranchées.</w:t>
      </w:r>
    </w:p>
    <w:p>
      <w:r>
        <w:rPr>
          <w:b/>
        </w:rPr>
        <w:t>E. 4.2.1</w:t>
      </w:r>
    </w:p>
    <w:p>
      <w:r>
        <w:t>Aux termes de l’art. 91 al. 2 let. a LCR, est puni d'une peine privative de liberté de trois ans au plus ou d'une peine pécuniaire quiconque conduit un véhicule automobile en état d'ébriété et présente un taux d'alcool qualifié dans le sang ou dans l'haleine. Selon l'art. 10 OCCR, la police peut utiliser des appareils de test préliminaire pour déterminer s'il y a eu consommation d'alcool (al. 1); les tests doivent être effectués conformément aux prescriptions du fabricant de l'appareil (al. 3); il y a lieu de renoncer à d'autres mesures d'investigation lorsque le résultat du test préliminaire est négatif et que la personne contrôlée ne présente aucun signe d'incapacité de conduire (al. 4); si le résultat du test préliminaire révèle la présence d'alcool ou que la police a renoncé à utiliser un appareil de test préliminaire, elle procède à un contrôle de l'alcool dans l'air expiré (al. 5). Selon l'art. 10a al. 1 OCCR, le contrôle de l'alcool dans l'air expiré peut être effectué au moyen (a) d'un éthylotest au sens de l'art. 11 OCCR ou (b) d'un éthylomètre au sens de l'art. 11a OCCR. Aux termes de l'art. 10a al. 2 OCCR, si une mesure est effectuée au moyen d'un éthylotest, certaines valeurs peuvent être reconnues par voie de signature (art. 11 al. 3). Selon l'art. 11 OCCR, le contrôle effectué au moyen d'un éthylotest peut avoir lieu (a) au plus tôt après un délai d'attente de 20 minutes ou (b) après que la personne contrôlée s'est rincé la bouche, conformément aux indications éventuelles du fabricant de l'appareil (al. 1). Il y a lieu d'effectuer deux mesures pour le contrôle. Si elles divergent</w:t>
      </w:r>
    </w:p>
    <w:p>
      <w:r>
        <w:t>- 8 - de plus de 0,05 mg/I, il faut procéder à deux nouvelles mesures. Si la différence dépasse de nouveau 0,05 mg/I et s'il y a des indices de consommation d'alcool, il y a lieu d'effectuer un contrôle au moyen d'un éthylomètre ou d'ordonner une prise de sang (al. 2). Le résultat inférieur des deux mesures est déterminant. La personne concernée peut reconnaître celui-ci par sa signature s'il correspond, pour une personne qui conduisait un véhicule automobile, à une concentration d'alcool dans l'air expiré de 0,25 mg/I ou plus, mais moins de 0,40 mg/I (al. 3, let. a). Les éthylotests doivent répondre aux exigences de l'ordonnance du 15 février 2006 sur les instruments de mesure et des prescriptions d'exécution du Département fédéral de justice et police (al. 4). L'OFROU règle le maniement des éthylotests (al. 5). Selon l'art. 11a OCCR, le contrôle effectué au moyen d'un éthylomètre peut avoir lieu au plus tôt après un délai d'attente de dix minutes (al. 1). Si l'éthylomètre décèle la présence d'alcool dans la bouche, il faut attendre au moins cinq minutes supplémentaires pour effectuer le contrôle (al. 2). Les éthylomètres doivent répondre aux exigences de l'ordonnance du 15 février 2006 sur les instruments de mesure et des prescriptions d'exécution du Département fédéral de justice et police (al. 3). L'OFROU règle le maniement des éthylomètres (al. 4). Le résultat d'un examen à l'éthylomètre a force probante indépendamment de l'éventuelle signature de la personne concernée (Daniel Kaiser, Die Blutprobe im Strassenverkehr, Strassenverkehr 2/2017, p. 4, spéc. pp. 9- 10).</w:t>
      </w:r>
    </w:p>
    <w:p>
      <w:r>
        <w:rPr>
          <w:b/>
        </w:rPr>
        <w:t>E. 4.2.2</w:t>
      </w:r>
    </w:p>
    <w:p>
      <w:r>
        <w:t>Aux termes de l'art. 141 al. 2 CPP, les preuves qui ont été administrées d'une manière illicite ou en violation de règles de validité par les autorités pénales ne sont pas exploitables, à moins que leur exploitation soit indispensable pour élucider des infractions graves. L'art. 141 al. 3 CPP prévoit en revanche que les preuves administrées en violation de prescriptions d'ordre sont exploitables. Lorsque la loi ne qualifie pas elle-même une disposition de règle de validité, la distinction entre une telle règle et une prescription d'ordre s'opère en prenant principalement pour critère l'objectif de protection auquel est censée ou</w:t>
      </w:r>
    </w:p>
    <w:p>
      <w:r>
        <w:t>- 9 - non répondre la norme. Si la disposition de procédure en cause revêt une importance telle pour la sauvegarde des intérêts légitimes de la personne concernée qu'elle ne peut atteindre son but que moyennant l'invalidation de l'acte de procédure accompli en violation de cette disposition, on a affaire à une règle de validité (ATF 144 IV 302 consid. 3.4.3; 139 IV 128 consid. 1.6; Message relatif à l'unification du droit de la procédure pénale du 21 décembre 2005, FF 2006 1057, p. 1163).</w:t>
      </w:r>
    </w:p>
    <w:p>
      <w:r>
        <w:rPr>
          <w:b/>
        </w:rPr>
        <w:t>E. 4.3</w:t>
      </w:r>
    </w:p>
    <w:p>
      <w:r>
        <w:t>Comme l’a considéré le premier juge, les dispositions de l’OCCR n’imposent nullement, contrairement à ce que soutient l’appelant, qu’après deux mesures à l’éthylotest divergeant de plus de 0,05 mg/l, deux mesures effectuées selon le même procédé, soit l’éthylotest, soient ordonnées lors du contrôle. Au contraire, l’art. 10a al. 1 OCCR offre alternativement la possibilité d’un contrôle au moyen d’un éthylotest ou au moyen d’un éthylomètre. Dans cette dernière hypothèse, c’est la procédure décrite à l’art. 11a OCCR qui doit être suivie et l’appelant ne prétend pas qu’elle ne l’aurait pas été. La détermination du taux d’alcoolémie par l’éthylomètre est ainsi probante en l’espèce et n’a pas été obtenue illicitement par les agents de police. De toute manière, à supposer qu’il faille interpréter l’art. 11 al. 2 OCCR comme imposant préalablement deux nouvelles mesures à l’éthylotest avant de procéder au contrôle au moyen d’un éthylomètre, il s’agit d’une prescription d’ordre car tant l’éthylotest que l’éthylomètre répondent aux mêmes impératifs de preuve destinés à garantir l’établissement d’un taux d’alcoolémie fiable. Il n’y a donc pas lieu de retrancher la pièce 4 et ses annexes du dossier. Le moyen est ainsi mal fondé et doit être rejeté.</w:t>
      </w:r>
    </w:p>
    <w:p>
      <w:r>
        <w:rPr>
          <w:b/>
        </w:rPr>
        <w:t>E. 5</w:t>
      </w:r>
    </w:p>
    <w:p>
      <w:r>
        <w:t>L’appelant invoque ensuite une constatation incomplète ou erronée des faits, au sens de l’art. 398 al. 3 let. b CPP, en reprochant au premier juge d’avoir considéré qu’il n’avait pas contesté les faits, mais uniquement la procédure suivie par les policiers. Il fait valoir qu’une contestation de fait subsistait toutefois, dans la mesure où il soutient que les policiers lui auraient affirmé qu’ils allaient procéder, après la</w:t>
      </w:r>
    </w:p>
    <w:p>
      <w:r>
        <w:t>- 10 - divergence de plus de 0,05 mg/l à l’éthylotest, à deux nouvelles mesures identiques. Le moyen est quoi qu’il en soit vain, car à supposer ce fait avéré, il ne changerait rien à la validité du contrôle effectué à l’éthylomètre. La condamnation de l’appelant pour l’infraction de conducteur se trouvant dans l’incapacité de conduire doit donc être confirmée.</w:t>
      </w:r>
    </w:p>
    <w:p>
      <w:r>
        <w:rPr>
          <w:b/>
        </w:rPr>
        <w:t>E. 6</w:t>
      </w:r>
    </w:p>
    <w:p>
      <w:r>
        <w:t>L'appelant ne conteste pas la peine prononcée à son encontre, ni le caractère ferme de la sanction. Il se limite à présenter des moyens tendant à obtenir son acquittement. Or l’infraction retenue à sa charge est confirmée. Vérifiée d’office, la peine pécuniaire de 20 jours-amende à 70 fr. le jour est adéquate et conforme à la culpabilité du prévenu ainsi qu’aux principes de fixation de la peine, tels que prévus à l'art. 47 CP. Cette peine apparaît même clémente. A cet égard, la Cour de céans fait sienne la motivation complète et convaincante du premier juge, à laquelle il peut être renvoyé (jugt, p. 11; cf. art. 82 al. 4 CPP), l’appelant n’ayant formulé aucun grief relatif à la fixation de la peine. En outre, au vu des antécédents en matière de circulation routière, le pronostic défavorable justifie le caractère ferme de la peine.</w:t>
      </w:r>
    </w:p>
    <w:p>
      <w:r>
        <w:rPr>
          <w:b/>
        </w:rPr>
        <w:t>E. 7</w:t>
      </w:r>
    </w:p>
    <w:p>
      <w:r>
        <w:t>Au vu de ce qui précède, l’appel de P.________ doit être rejeté et le jugement entrepris confirmé. La requête d'indemnité de l'art. 429 CPP doit en conséquence également être rejetée. Vu l’issue de la cause, les frais de la procédure d’appel, constitués du seul émolument de jugement, par 990 fr. (art. 21 al. 1 TFIP [tarif des frais de procédure et indemnités en matière pénale du 28 septembre 2010 ; BLV 312.03.1]), seront mis à la charge de P.________, qui succombe (art. 428 al. 1 CPP).</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