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AM21.000189 vom 15. Oktober 2021</w:t>
      </w:r>
    </w:p>
    <w:p>
      <w:r>
        <w:t>VD Tribunal cantonal, 2021-10-15, FR</w:t>
      </w:r>
    </w:p>
    <w:p>
      <w:r>
        <w:rPr>
          <w:b/>
        </w:rPr>
        <w:t xml:space="preserve">Quelle: </w:t>
      </w:r>
      <w:r>
        <w:t>https://mcp.opencaselaw.ch/entscheid/vd_gerichte_AM21.000189</w:t>
      </w:r>
    </w:p>
    <w:p>
      <w:r>
        <w:t>FR: VD_GERICHTE AM21.000189 du 15 octobre 2021</w:t>
      </w:r>
    </w:p>
    <w:p>
      <w:r>
        <w:t>IT: VD_GERICHTE AM21.000189 del 15 ottobre 2021</w:t>
      </w:r>
    </w:p>
    <w:p>
      <w:pPr>
        <w:pStyle w:val="Heading2"/>
      </w:pPr>
      <w:r>
        <w:t>Volltext</w:t>
      </w:r>
    </w:p>
    <w:p>
      <w:r>
        <w:t>TRIBUNAL CANTONAL 961 AM21.000189-GALN CHAMBRE DE S RECO URS PEN ALE __________________________________________ Arrêt du 15 octobre 2021 __________________ Composition : M. P E R R O T, président Mme Fonjallaz et M. Kaltenrieder, juges Greffière : Mme Desponds ***** Art. 355 al. 2, 385 CPP Statuant sur le recours interjeté le 3 octobre 2021 par X.________ contre l’ordonnance rendue le 24 septembre 2021 par le Ministère public de l’arrondissement de Lausanne dans la cause n°AM21.000189-GALN, la Chambre des recours pénale considère : En fait : A. Par ordonnance pénale du 16 avril 2021, le Ministère public de l’arrondissement de Lausanne a condamné X.________ à 40 jours-amende, le jour amende étant fixé à 30 fr., avec sursis pendant quatre ans, et à une amende de 300 fr., convertible en 10 jours de peine privative de liberté de substitution en cas de non paiement fautif de l’amende, pour avoir conduit un véhicule défectueux, avoir circulé par négligence sans permis de 351</w:t>
      </w:r>
    </w:p>
    <w:p>
      <w:r>
        <w:t>- 2 - circulation ou plaques de contrôle et avoir circulé par négligence sans assurance responsabilité civile au sens de la Loi fédérale sur la circulation routière. Par courrier du 26 avril 2021 adressé au Ministère public, X.________ a formé opposition contre cette ordonnance. Par mandat de comparution du 16 juillet 2021, X.________ a été cité à comparaître à l’audience du 14 septembre 2021. Au verso de ce mandat, figurait notamment la mention selon laquelle « Si l’opposant, sans excuse, fait défaut à une audition malgré une citation, son opposition est réputée retirée ». X.________ ne s’est pas présenté à l’audience du 14 septembre 2021. Selon l’annotation au procès-verbal des opérations du lendemain, le précité a pris contact téléphonique avec un collaborateur juridique du ministère public. A cette occasion, il a fait savoir qu’en raison de cours professionnels ce jour-là, il avait oublié cette convocation. B. Par ordonnance du 24 septembre 2021, le Ministère public a dit que l’ordonnance pénale du 16 avril 2021 devenait exécutoire (I) et a rendu sa décision sans frais (II). Le procureur a constaté que X.________ avait fait défaut à l’audience du 14 septembre 2021 – fixée consécutivement à son opposition – à laquelle il avait été cité par pli recommandé. Tout en prenant acte des excuses du prénommé transmises par téléphone du 15 septembre 2021, il a considéré que X.________ ne pouvait pas se prévaloir d’un empêchement non fautif et que l’opposition devait en conséquence être tenue pour retirée. C. Par acte du 3 octobre 2021, X.________ a recouru contre cette ordonnance et a implicitement conclu à son annulation. Il a fait valoir un sentiment d’injustice profond de devoir subir et payer pour des erreurs qui n’étaient pas de son ressort, expliquant qu’il s’était fondé sur des</w:t>
      </w:r>
    </w:p>
    <w:p>
      <w:r>
        <w:t>- 3 - affirmations d’un employé du Service des automobiles pour adopter le comportement qui lui a finalement été reproché dans l’ordonnance pénale du 16 avril 2021. Il a ainsi exprimé le souhait de mener à terme l’opposition initialement formée. Il a espéré de la compréhension face à sa situation et de l’indulgence quant à son absence à l’audience du 14 septembre 2021. Il n’a pas été ordonné d’échange d’écritures. En d roit : 1. 1.1 1.1.1 Aux termes de l'art. 393 al. 1 let. a CPP (Code de procédure pénale du 5 octobre 2007 ; RS 312.0), le recours est recevable contre les décisions et les actes de procédure de la police, du ministère public et des autorités pénales compétentes en matière de contraventions. En particulier, la décision par laquelle le ministère public constate que l’opposant, sans excuse, a fait défaut à une audition malgré une citation et que son opposition est réputée retirée (art. 355 al. 2 CPP) est susceptible de recours selon les art. 393ss CPP (cf. par ex. CREP 23 juin 2021/575 consid. 1.1 et les références citées). Ce recours s’exerce auprès de l’autorité de recours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Il doit être adressé par écrit, dans un délai de dix jours dès la notification de la décision attaquée (art. 384 let. b CPP), à l’autorité de recours (art. 396 al. 1 CPP). 1.1.2 Le recours a été déposé en temps utile, devant l’autorité compétente, par le prévenu qui a qualité pour recourir (art. 382 al. 1 CPP).</w:t>
      </w:r>
    </w:p>
    <w:p>
      <w:r>
        <w:t>- 4 - 1.2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in Donatsch/Lieber/ 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CR CPP, op. cit., n. 21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w:t>
      </w:r>
    </w:p>
    <w:p>
      <w:r>
        <w:t>- 5 - compléter un acte dépourvu de motivation (TF 6B_510/2020 du 15 septembre 2020 consid. 2.2 ; TF 6B_705/2019 du 5 septembre 2019 consid. 3.2.2 ; TF 6B_510/2018 du 31 juillet 2018 consid. 1 et les réf. cit. ; cf. aussi CREP 11 septembre 2020/694 consid. 4.3.1). 1.2.2 Aux termes de l'art. 205 al. 1 CPP, quiconque est cité à comparaître par une autorité pénale est tenu de donner suite au mandat de comparution. Celui qui est empêché de donner suite à un mandat de comparution doit en informer sans délai l'autorité qui l'a décerné;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6B_1113/2020 du 25 mars 2021 consid. 3.1 ; TF 6B_1297/2018 du 6 février 2019 consid. 1.1.; TF 6B_365/2018 du 5 juillet 2018 consid. 2.1 ; TF 6B_289/2013 du 6 mai 2012 consid. 11.3).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w:t>
      </w:r>
    </w:p>
    <w:p>
      <w:r>
        <w:t>- 6 - celui-ci résulte de l'ensemble du comportement de l'opposant, qui démontre qu'il se désintéresse de la suite de la procédure tout en étant conscient des droits dont il dispose (ATF 146 IV 50 consid. 1 ; ATF 142 IV 158, JdT 2017 IV 46). La fiction légale de retrait découlant d'un défaut non excusé suppose également que l'opposant ait conscience des conséquences de son omission et qu'il renonce à ses droits en connaissance de cause, l’abus de droit étant réservé (ATF 142 IV 158, JdT 2017 IV 46 ; ATF 140 IV 82 consid. 2.3 et 2.5 ; JdT 2014 IV 301 ; TF 6B_328/2014 du 20 janvier 2015 ; Denys, Ordonnance pénale : Questions choisies et jurisprudence récente, SJ 2016 II 130, spéc. 133-134). 1.2.3 En l’espèce, X.________ développe pratiquement exclusivement des arguments de fond et expose qu’il estime avoir agi dans son droit en relation avec les faits faisant l’objet de sa condamnation pénale. Le recourant, qui ne conteste pas avoir reçu la citation à comparaître du 16 juillet 2021 ni de n’y avoir pas donné suite, n’explique toutefois aucunement en quoi l’ordonnance entreprise procéderait d’une constatation erronée des faits ou d’une mauvaise application du droit. Il n’expose pas davantage quels motifs commanderaient une autre décision. Se bornant à reconnaître son absence à l’audience en expliquant s’être excusé par téléphone le lendemain, et avoir traversé une période occupée entre la rentrée scolaire et « d’autres raisons personnelles » – sur lesquelles il ne donne cependant aucune précision –, il ne soutient pas que l’absence qui lui est reprochée ne serait imputable à aucune faute de sa part. Il se limite à réclamer l’indulgence quant à son oubli de la convocation du 14 septembre 2021, ce qui est insuffisant. Le recours ne satisfait dès lors pas aux exigences de motivation de l’art. 385 al. 1 CPP. Un tel défaut de motivation ne saurait de plus justifier qu’un délai supplémentaire soit fixé au recourant pour compléter son acte en application de l’art. 385 al. 2 CPP. 2. Au vu de ce qui précède, le recours doit être déclaré irrecevable, sans échange d’écritures (art. 390 al. 2 CPP).</w:t>
      </w:r>
    </w:p>
    <w:p>
      <w:r>
        <w:t>- 7 - Les frais de la procédure de recours, constitués en l’espèce du seul émolument d’arrêt (art. 422 al. 1 CPP), par 660 fr. (art. 20 al. 1 TFIP [Tarif des frais de procédure et indemnités en matière pénale du 28 septembre 2010 ; BLV 312.03.1]), seront exceptionnellement laissés à la charge de l’Etat (art. 423 CPP), compte-tenu de la situation personnelle du recourant. Par ces motifs, la Chambre des recours pénale prononce : I. Le recours est irrecevable. II. Les frais d’arrêt, par 660 fr. (six cent soixante francs), sont laissés à la charge de l’Etat. III. L’arrêt est exécutoire. Le président : La greffière : Du Le présent arrêt, dont la rédaction a été approuvée à huis clos, est notifié, par l'envoi d'une copie complète, à : - X.________, - Ministère public central, et communiqué à : - M. le Procureur de l’arrondissement de Lausanne,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