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AM20.021899 vom 2. Dezember 2021</w:t>
      </w:r>
    </w:p>
    <w:p>
      <w:r>
        <w:t>VD Tribunal cantonal, 2021-12-02, FR</w:t>
      </w:r>
    </w:p>
    <w:p>
      <w:r>
        <w:rPr>
          <w:b/>
        </w:rPr>
        <w:t xml:space="preserve">Quelle: </w:t>
      </w:r>
      <w:r>
        <w:t>https://mcp.opencaselaw.ch/entscheid/vd_gerichte_AM20.021899</w:t>
      </w:r>
    </w:p>
    <w:p>
      <w:r>
        <w:t>FR: VD_GERICHTE AM20.021899 du 2 décembre 2021</w:t>
      </w:r>
    </w:p>
    <w:p>
      <w:r>
        <w:t>IT: VD_GERICHTE AM20.021899 del 2 dicembre 2021</w:t>
      </w:r>
    </w:p>
    <w:p>
      <w:pPr>
        <w:pStyle w:val="Heading2"/>
      </w:pPr>
      <w:r>
        <w:t>Erwägungen</w:t>
      </w:r>
    </w:p>
    <w:p>
      <w:r>
        <w:rPr>
          <w:b/>
        </w:rPr>
        <w:t>E. 4</w:t>
      </w:r>
    </w:p>
    <w:p>
      <w:r>
        <w:t>L’appelant, qui conclut à son acquittement, ne conteste pas la quotité de la peine infligée en tant que telle. Elle doit toutefois être vérifiée d’office.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De la même manière, le juge fixe l’amende et la peine privative de liberté de substitution en tenant compte de la situation de l’auteur afin que la peine corresponde à la faute commise (art. 106 al. 3 CP).</w:t>
      </w:r>
    </w:p>
    <w:p>
      <w:r>
        <w:t>- 21 -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142 IV 137 consid. 9.1 ; 141 IV 61 consid. 6.1.1).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être exécutée (let. b).</w:t>
      </w:r>
    </w:p>
    <w:p>
      <w:r>
        <w:rPr>
          <w:b/>
        </w:rPr>
        <w:t>E. 4.1.2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w:t>
      </w:r>
    </w:p>
    <w:p>
      <w:r>
        <w:t>- 22 -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w:t>
      </w:r>
    </w:p>
    <w:p>
      <w:r>
        <w:rPr>
          <w:b/>
        </w:rPr>
        <w:t>E. 4.2</w:t>
      </w:r>
    </w:p>
    <w:p>
      <w:r>
        <w:t>En l’espèce, l’appelant s’est rendu coupable de plusieurs infractions aux règles de la circulation qui sont de l’ordre du délit, à savoir l’entrave aux mesures de constatation de l’incapacité de conduire, la conduite sans autorisation et, troisièmement, la conduite sans assurance responsabilité-civile. Il n’a pas hésité à prendre le guidon d’un véhicule automobile sans disposer du permis de conduire requis au plus grand mépris des règles élémentaires de prudence. Son accident et sa chute en sont la plus parfaite illustration. En adoptant un tel comportement, la sécurité des autres usagers de la route a été mise en péril, de manière indiscutable. La culpabilité de Z.________ est importante à cet égard. A charge, il convient également de retenir qu’il a récidivé moins de six mois après être sorti de prison. De même, la quantité pléthorique d’antécédents, aussi bien en France, qu’en Suisse, démontre que l’appelant est durablement ancré dans la délinquance. A décharge, il sera tenu compte d’une très légère diminution de la responsabilité de Z.________, telle que retenue dans l’expertise psychiatrique du 9 janvier 2019. Au vu des éléments qui précèdent, le premier juge a fait usage avec raison de l’art. 41 CP en préférant le prononcé d’une courte peine privative de liberté à celui d’une peine pécuniaire pour l’ensemble des infractions concernées. Il convient ensuite d’apprécier la quotité retenue. La conduite sans permis doit être considérée comme l’infraction la plus grave. Elle justifie le prononcé d’une peine privative de liberté de deux mois. Les</w:t>
      </w:r>
    </w:p>
    <w:p>
      <w:r>
        <w:t>- 23 - deux autres délits sont de gravité similaire et peuvent être sanctionnés d’une peine privative de liberté d’un mois chacune. La peine privative de liberté de trois mois infligée par le premier juge apparaît ainsi adéquate si l’on prend en compte la légère diminution de responsabilité de l’appelant.</w:t>
      </w:r>
    </w:p>
    <w:p>
      <w:r>
        <w:rPr>
          <w:b/>
        </w:rPr>
        <w:t>E. 4.3</w:t>
      </w:r>
    </w:p>
    <w:p>
      <w:r>
        <w:t>Les nombreux antécédents de l’appelant et l’absence de toute remise en question de sa part imposent le prononcé d’une peine ferme (art. 42 al. 2 CP).</w:t>
      </w:r>
    </w:p>
    <w:p>
      <w:r>
        <w:rPr>
          <w:b/>
        </w:rPr>
        <w:t>E. 4.4</w:t>
      </w:r>
    </w:p>
    <w:p>
      <w:r>
        <w:t>Egalement examinée d’office, l’amende de 300 fr. prononcée relativement au volet contraventionnel du comportement illicite de Z.________ doit également être confirmée, les mêmes considérations faites précédemment sur la culpabilité de celui-ci s’agissant du volet délictuel de cette affaire (cf. consid. 4.2 ci-dessus) pouvant être reprises ici.</w:t>
      </w:r>
    </w:p>
    <w:p>
      <w:r>
        <w:rPr>
          <w:b/>
        </w:rPr>
        <w:t>E. 5</w:t>
      </w:r>
    </w:p>
    <w:p>
      <w:r>
        <w:t>En définitive, l’appel de Z.________ doit être rejeté et le jugement entrepris intégralement confirmé. Vu l’issue de la cause, les frais de la procédure d’appel, par 2'050 fr. constitués en l’espèce des émoluments de jugement et d’audience (art. 21 al. 1 et 2 TFIP [tarif des frais de procédure et indemnités en matière pénale du 28 septembre 2010 ; BLV 312.03.1]), seront mis à la charge de Z.________, qui succombe (art. 428 al. 1 CPP). La Cour d’appel pénale appliquant les articles 19 al. 2, 41, 47, 49 al. 1, 50, 103, 106 CP ; 90 al. 1, 91a al. 1, 92 al. 1, 93 al. 2 let. a, 95 al. 1 let. a, 96 al. 1 let. a et al. 2 LCR ; 96 OCR et 398 ss CPP, prononce : I. L’appel est rejeté.</w:t>
      </w:r>
    </w:p>
    <w:p>
      <w:r>
        <w:t>- 24 - II. Le jugement rendu le 25 août 2021 par le Tribunal de police de l’arrondissement de la Broye et du Nord vaudois est confirmé selon le dispositif suivant : "I. reçoit l’opposition formée par Z.________ le 15 avril 2021 à l’encontre de l’ordonnance pénale rendue le 25 mars 2021 par le Ministère public de l’arrondissement du Nord vaudois ; II. constate que Z.________ s’est rendu coupable de violation simple des règles de la circulation routière, d’entrave aux mesures de constatation de l’incapacité de conduire, de violation des obligations en cas d’accident, de conduite d’un véhicule défectueux, de conduite d’un véhicule sans permis de conduire requis, de conduite d’un véhicule sans permis de circulation ou plaques de contrôle et sans assurance responsabilité-civile, ainsi que de contravention à l’ordonnance sur les règles de la circulation routière ; III. condamne Z.________ à une courte peine privative de liberté de 3 (trois) mois ; IV. condamne en outre Z.________ à une amende de 300 fr. (trois cents francs) convertible en 3 (trois) jours de peine privative de liberté de substitution en cas de non-paiement fautif ; V. met les frais de la cause, par 600 fr. (six cents francs), à la charge de Z.________ ". III. Les frais d'appel, par 2'050 fr., sont mis à la charge de Z.________. Le président : La greffière : Du Le jugement qui précède, dont le dispositif a été communiqué par écrit aux intéressés le 3 décembre 2021, est notifié, par l'envoi d'une copie complète, à :</w:t>
      </w:r>
    </w:p>
    <w:p>
      <w:r>
        <w:t>- 25 - - Z.________, - Ministère public central, et communiqué à : - M. le Président du Tribunal de police de l’arrondissement de la Broye et du Nord vaudois, - M. le Procureur de l’arrondissement du Nord vaudois, - Office d’exécution des peines,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