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AM20.020361 vom 22. April 2021</w:t>
      </w:r>
    </w:p>
    <w:p>
      <w:r>
        <w:t>VD Tribunal cantonal, 2021-04-22, FR</w:t>
      </w:r>
    </w:p>
    <w:p>
      <w:r>
        <w:rPr>
          <w:b/>
        </w:rPr>
        <w:t xml:space="preserve">Quelle: </w:t>
      </w:r>
      <w:r>
        <w:t>https://mcp.opencaselaw.ch/entscheid/vd_gerichte_AM20.020361</w:t>
      </w:r>
    </w:p>
    <w:p>
      <w:r>
        <w:t>FR: VD_GERICHTE AM20.020361 du 22 avril 2021</w:t>
      </w:r>
    </w:p>
    <w:p>
      <w:r>
        <w:t>IT: VD_GERICHTE AM20.020361 del 22 aprile 2021</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 Les pièces nouvelles produites par la recourante sont également recevables (cf. CREP 1er juillet 2020/515). Il en sera donc tenu compte dans le traitement du recours.</w:t>
      </w:r>
    </w:p>
    <w:p>
      <w:r>
        <w:rPr>
          <w:b/>
        </w:rPr>
        <w:t>E. 2.1</w:t>
      </w:r>
    </w:p>
    <w:p>
      <w:r>
        <w:t>La recourante fait valoir qu’elle se trouve dans un cas de défense obligatoire au sens de l’art. 130 let. c CPP.</w:t>
      </w:r>
    </w:p>
    <w:p>
      <w:r>
        <w:rPr>
          <w:b/>
        </w:rPr>
        <w:t>E. 2.2</w:t>
      </w:r>
    </w:p>
    <w:p>
      <w:r>
        <w:t>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6B_508/2020 du 7 janvier 2021 consid. 2.1.1; TF 1B_493/2019 du 20 décembre 2019 consid. 2.1; TF 1B_285/2016 du 1er septembre 2016 consid. 2.1 et les références citées). Selon la doctrine, l'hypothèse prévue à l'art. 130 let. c CPP est notamment tenue pour réalisée lorsque le prévenu n'est plus à même d'assurer, intellectuellement ou physiquement, sa participation à la</w:t>
      </w:r>
    </w:p>
    <w:p>
      <w:r>
        <w:t>- 5 - procédure, à l'image des cas visés par l'art. 114 al. 2 et 3 CPP (Moreillon/Parein-Reymond, op. cit., n. 15 ad art. 130 CPP et la référence citée). La cause des incapacités personnelles peut consister dans des dépendances à l’alcool, aux stupéfiants ou à des médicaments, susceptibles d’altérer les capacités psychiques (TF 6B_508/2020 du 7 janvier 2021 consid. 2.1.1; TF 1B_493/2019 du 20 décembre 2019 consid. 2.1; TF 1B_285/2016 du 1er septembre 2016 consid. 2.1 et les références citées), ainsi que de troubles mentaux sévères ou même légers (Schmid/Jositsch, Praxiskommentar, Schweizerische Strafprozessordnung, 3e éd., 2018, n. 9 ad art. 130 CPP ; Harari/Jakob/Santamaria, Commentaire romand, Code de procédure pénale suisse, 2e éd., Bâle 2019, n. 26 ad art. 130 CPP et les références citées).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Petit commentaire CPP, 2e éd., Bâle 2016, n. 17 ad art. 130 CPP et la référence citée ; Ruckstuhl, Basler Kommentar, Schweizerische Strafprozessordnung, Jugendstrafprozessordnung, 2e éd., Bâle 2014, n. 30 ad art.130 CPP et la référence citée).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6B_508/2020 du 7 janvier 2021 consid. 2.1.1; TF 1B_493/2019 du 20 décembre 2019 consid. 2.1; TF 1B_285/2016 du 1er septembre 2016 consid. 2.1 et les références citées).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 pour que la direction de la procédure puisse, compte tenu de ces effets, apprécier si le prévenu peut suffisamment se défendre (mêmes arrêts). Si</w:t>
      </w:r>
    </w:p>
    <w:p>
      <w:r>
        <w:t>- 6 -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défendre les intérêts du prévenu, mais a récemment invoqué, avec une apparence d’approbation, la doctrine préconisant que la représentation ne puisse être assurée par le représentant légal que pour des problématique liées à des contravention ou en lien avec des cas dits bagatelle, voire que le curateur doive être au bénéfice d’une formation juridique (Harari/Jakob/Santamaria, op. cit., n. 31 ad art. 130 CPP.</w:t>
      </w:r>
    </w:p>
    <w:p>
      <w:r>
        <w:rPr>
          <w:b/>
        </w:rPr>
        <w:t>E. 2.3</w:t>
      </w:r>
    </w:p>
    <w:p>
      <w:r>
        <w:t>En l’espèce, les problèmes d’écriture de la recourante (cf. P. 6/1), l’octroi d’une rente AI à 100 % et l’ouverture d’une enquête en institution d’une curatelle sont des éléments qui ne suffisent pas encore à admettre que celle-ci n’est pas capable de se défendre seule dans le cadre de la présente procédure, d’autant moins que la cause ne présente pas de difficultés particulières en fait ou en droit et qu’elle est ainsi simple. Cependant, il ressort des pièces produites dans la procédure de recours que la prévenue souffre d’un trouble psychiatrique évoluant depuis l’adolescence qui a entraîné une incapacité de travail depuis le 1er janvier 2016, et que le diagnostic de schizophrénie indifférenciée épisodique avec symptomatologie résiduelle (F20) a été retenu. Or, cette maladie semble avoir des répercussions importantes sur la vie de la prévenue depuis quelque temps. En effet, tout d’abord le 18 décembre 2020, le juge de paix a ouvert une enquête en institution d’une curatelle en faveur de Z.________ et lui a nommé une curatrice provisoire. Le même jour la justice de paix a nommé Me Samuel Pahud, avocat, en qualité de curateur ad hoc avec pour mission de la représenter dans la procédure d’enquête en institution d’une curatelle, dans la mesure où elle n’était notamment pas en mesure de se défendre elle-même dans le cadre de cette procédure. Le 26 janvier 2021 la justice de paix a levé la curatelle d’accompagnement provisoire, a institué une curatelle de représentation et de gestion provisoire et a nommé [...], assistant social</w:t>
      </w:r>
    </w:p>
    <w:p>
      <w:r>
        <w:t>- 7 - auprès du SCTP, en qualité de curateur provisoire de Z.________ notamment pour la représenter dans « les affaires juridiques ». Enfin, le 10 février 2021, les Drs Stéphane Kolly et Anita Rathod, respectivement médecin associé et cheffe de clinique adjointe auprès de la Consultation de Chauderon, ont ordonné le placement de la recourante à des fins d’assistance à l’Hôpital de Cery. Cette décision a été confirmée par la justice de paix le 24 février 2021. En l’état, on ne sait pas si le curateur précité, soit [...], est au bénéfice d’une formation juridique qui lui permettrait, selon la doctrine citée ci-dessus (cf. consid. 2.2 in fine supra), de défendre les intérêts de la recourante dans le cadre de la procédure pénale. Quoi qu’il en soit, le mandat de curateur fait référence aux « affaires juridiques », ce qui ne couvre usuellement pas la défense pénale d’un prévenu. Il faut ainsi admettre que l’ensemble des circonstances mentionnées ci-dessus établit qu’en l’état la prévenue rencontre des difficultés telles que les conditions de la défense obligatoire au sens de l’art. 130 let. c CPP sont remplies, et que le curateur ne paraît pas avoir les pouvoirs, voire la formation nécessaires pour défendre sa pupille dans une procédure pénale. Il convient par conséquent de désigner Me Samuel Pahud en qualité de défenseur d’office de Z.________ dans le cadre de la procédure pénale.</w:t>
      </w:r>
    </w:p>
    <w:p>
      <w:r>
        <w:rPr>
          <w:b/>
        </w:rPr>
        <w:t>E. 3</w:t>
      </w:r>
    </w:p>
    <w:p>
      <w:r>
        <w:t>Dès lors que la recourante se trouve dans un cas de défense obligatoire, les autres moyens soulevés dans le recours (notamment indigence, violation de son droit d’être entendue), n’ont pas besoin d’être examinés.</w:t>
      </w:r>
    </w:p>
    <w:p>
      <w:r>
        <w:rPr>
          <w:b/>
        </w:rPr>
        <w:t>E. 4</w:t>
      </w:r>
    </w:p>
    <w:p>
      <w:r>
        <w:t>CPP). Par ces motifs, la Chambre des recours pénale prononce : I. Le recours est admis. II. L'ordonnance du 3 février 2021 est réformée en ce sens que Me Samuel Pahud est désigné en qualité de défenseur d’office de Z.________, avec effet au 26 janvier 2021. L’ordonnance est confirmée pour le surplus. III. L’indemnité allouée au défenseur d’office de Z.________ pour la procédure de recours est fixée à 484 fr. (quatre cent huitante- quatre francs). IV. Les frais d'arrêt, par 880 fr. (huit cent huitante francs), ainsi que l’indemnité allouée au défenseur d’office de Z.________, par 484 fr. (quatre cent huitante-quatre francs), sont laissés à la charge de l’Etat.</w:t>
      </w:r>
    </w:p>
    <w:p>
      <w:r>
        <w:t>- 9 - V. L’arrêt est exécutoire. Le président : La greffière : Du Le présent arrêt, dont la rédaction a été approuvée à huis clos, est notifié, par l'envoi d'une copie complète, à : - Me Samuel Pahud,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