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AM20.015259 vom 1. März 2022</w:t>
      </w:r>
    </w:p>
    <w:p>
      <w:r>
        <w:t>VD Tribunal cantonal, 2022-03-01, FR</w:t>
      </w:r>
    </w:p>
    <w:p>
      <w:r>
        <w:rPr>
          <w:b/>
        </w:rPr>
        <w:t xml:space="preserve">Quelle: </w:t>
      </w:r>
      <w:r>
        <w:t>https://mcp.opencaselaw.ch/entscheid/vd_gerichte_AM20.015259</w:t>
      </w:r>
    </w:p>
    <w:p>
      <w:r>
        <w:t>FR: VD_GERICHTE AM20.015259 du 1 mars 2022</w:t>
      </w:r>
    </w:p>
    <w:p>
      <w:r>
        <w:t>IT: VD_GERICHTE AM20.015259 del 1 marzo 2022</w:t>
      </w:r>
    </w:p>
    <w:p>
      <w:pPr>
        <w:pStyle w:val="Heading2"/>
      </w:pPr>
      <w:r>
        <w:t>Erwägungen</w:t>
      </w:r>
    </w:p>
    <w:p>
      <w:r>
        <w:rPr>
          <w:b/>
        </w:rPr>
        <w:t>E. 2</w:t>
      </w:r>
    </w:p>
    <w:p>
      <w:r>
        <w:t>km/h après déduction de la marge de tolérance de 3 km/h (P. 4/1). 352</w:t>
      </w:r>
    </w:p>
    <w:p>
      <w:r>
        <w:t>- 2 - b) En tant que détenteur du véhicule de marque Toyota Aygo rouge immatriculé avec le numéro de plaques d'immatriculation ayant servi à commettre les infractions en cause, V.________ a été entendu par la police, le 21 juillet 2020, en qualité de prévenu (PV. aud. 1). Il a contesté être l'auteur des infractions qui lui étaient reprochées expliquant qu'il ne possédait pas de véhicule Porsche Cayenne noire et qu'il ne savait pas à qui elle appartenait. Il a également indiqué ne pas être allé à Crissier le jour de l'infraction étant à la maison, à [...], avec ses enfants ce que son épouse, [...], a pu confirmer (PV. aud. 2). c) Par ordonnance pénale du 30 octobre 2020, le Ministère public de l'arrondissement de Lausanne (ci-après : le Ministère public) a reconnu V.________ coupable de violation simple des règles de la circulation routière, circulation sans permis de circulation ou plaque de contrôle, circulation sans assurance-responsabilité civile au sens de la loi sur la circulation routière et usage abusif de permis et/ou de plaques de contrôle à 90 jours-amende à 40 fr. le jour, avec sursis pendant 3 ans et à une amende de 1'000 fr., convertible en peine pécuniaire de substitution de 25 jours, ainsi qu'à payer les frais de procédure. d) Le 12 novembre 2020, V.________, par l'intermédiaire de son défenseur de choix, a formé opposition contre cette ordonnance pénale (P. 5). e) Le 7 décembre 2020, V.________, par l'intermédiaire de son conseil, a fourni plusieurs éléments permettant de démontrer qu'il n'était pas à Crissier le 28 juin 2020. Il a ajouté que malgré qu'il ait déposé ses plaques d'immatriculation au Service des automobiles et de la navigation (ci-après : le SAN), au mois de septembre 2020, il continuait de recevoir des amendes d'ordre, contre lesquelles il a formé opposition, pour des faits commis depuis lors avec le véhicule et le numéro de plaques d'immatriculation litigieux (P. 7 et 8).</w:t>
      </w:r>
    </w:p>
    <w:p>
      <w:r>
        <w:t>- 3 - f) De nouvelles mesures d'instruction ont permis de découvrir que Q.________ était le conducteur et détenteur du véhicule Porsche Cayenne noir (P. 13 et 14). Celui-ci avait annoncé ses plaques d'immatriculation comme ayant été détruites dans un accident alors qu'il avait continué à les utiliser (PV. aud. 4). Les plaques d'immatriculation avaient été réattribuées par le SAN à V.________ (P. 14/1). g) Rendu attentif dans le cadre de l'avis de prochaine clôture d'enquête du 10 septembre 2021 au contenu de l'art. 429 CPP (Code de procédure pénale suisse du 5 octobre 2007 ; RS 312.0), V.________, agissant par son défenseur de choix, après avoir sollicité et obtenu une prolongation de délai, a requis, le 1er octobre 2021, une indemnité à hauteur de 2'472 fr. pour les dépenses occasionnées par l'exercice raisonnable de ses droits de procédure (art. 429 al. 1 let. a CPP). A l'appui de cette requête, il a produit une liste détaillée des opérations effectuées du 12 novembre 2020 au 1er octobre 2021 par son avocate et comportant un montant total 2'471 fr. 79, arrondi à 2'472 fr., débours et TVA compris, pour une durée totale d'activité de 7 heures et 39 minutes au tarif-horaire de 300 fr. de l'heure. h) Le 2 février 2022, Q.________, par l'intermédiaire de son avocat, a fait opposition à l'ordonnance pénale rendue le 21 janvier 2022 à son encontre (P. 27). B. Par ordonnance du 17 décembre 2021, le Ministère public de l'arrondissement de Lausanne a ordonné le classement de la procédure pénale dirigée contre V.________ pour violation simple des règles de la circulation routière, circulation sans permis de circulation ou plaques de contrôle, circulation sans assurance responsabilité civile et usage abusif de permis et/ou de plaques de contrôle (I), a alloué à V.________ une indemnité de 1'000 fr. au sens de l'art. 429 al. 1 let. a CPP (II), a dit que les frais relatifs à l'ordonnance de classement suivaient le sort de la cause (III), a dit que Q.________ devait rembourser à l'Etat, en application de l'art. 420 CPP, le montant de 1'000 fr. alloué à V.________ à titre d'indemnité au sens de l'art. 429 al. 1 let. a CPP (IV).</w:t>
      </w:r>
    </w:p>
    <w:p>
      <w:r>
        <w:t>- 4 - En substance, le procureur a considéré que l'enquête avait permis d'établir que V.________ n'était pas l'auteur des faits qui lui étaient reprochés. S'agissant des effets accessoires du classement, il a réduit l'indemnité requise par V.________ pour les dépenses occasionnées pour l'exercice de ses droits de procédure. Pour ce faire, il a considéré que « compte tenu de la complexité toute relative de cette affaire, il peut être raisonnablement admis qu'une défense efficace doit être estimée à 4 heures de travail pour un avocat breveté ». Il a relevé que, en application de l'art. 26a al. 3 TFIP (Tarif des frais de procédure et indemnités en matière pénale du 28 septembre 2010 ; BLV 312.03.1), le tarif-horaire de 250 fr. de l'heure devait être retenu et a dès lors fixé l'indemnité due à V.________ à 1'000 francs. C. Par acte du 28 janvier 2022, V.________, par l'intermédiaire de son défenseur de choix, a recouru auprès de la Chambre des recours pénale du Tribunal cantonal contre cette ordonnance, en concluant, avec suite de frais et dépens, principalement, à la réforme du chiffre II de l'ordonnance attaquée en ce sens qu'il lui soit alloué une indemnité de 2'364 fr. 60 à titre d'indemnité pour les dépenses occasionnées par l'exercice raisonnable de ses droits de procédure au sens de l'art. 429 al. 1 let. a CPP ; subsidiairement, à l'annulation du chiffre II de l'ordonnance attaquée et au renvoi de la cause au Ministère public pour nouvelle décision dans le sens des considérants. En outre, il a demandé qu'une indemnité de 823 fr. 90 au sens de l'art. 429 al. 1 let. a CPP lui soit allouée, pour la procédure de seconde instance. Le 11 février 2022, dans le délai imparti en application de l'art. 390 al. 2 CPP, le Ministère public a indiqué qu'il renonçait à se déterminer et qu'il se référait intégralement aux considérants de l'ordonnance attaquée, concluant au rejet du recours interjeté par V.________.</w:t>
      </w:r>
    </w:p>
    <w:p>
      <w:r>
        <w:t>- 5 - Le 25 février 2022, après avoir sollicité et obtenu une prolongation de délai, Q.________, par l'intermédiaire de son avocat, a déclaré renoncer à se déterminer dans le cadre de la présente cause.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selon le procès-verbal des opérations, l'ordonnance attaquée a été notifiée au prévenu le 18 janvier 2022 (P.1). Déposé le 28 janvier 2022, soit dans le délai légal, auprès de l'autorité compétente, par le prévenu qui a qualité pour recourir (art. 382 al. 2 CPP) et dans les formes prescrites (art. 385 al. 1 CPP), le recours de V.________ est recevable. 1.2 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porte exclusivement sur les effets accessoires de l'ordonnance de classement, plus particulièrement sur le</w:t>
      </w:r>
    </w:p>
    <w:p>
      <w:r>
        <w:t>- 6 - montant de l'indemnité allouée au prévenu en application de l'art. 429 al. 1 let. a CPP. Le montant litigieux, constitué par la différence entre la valeur des conclusions du recours et celle de l'indemnité allouée (2'364 fr. 60 - 1'000 fr.), est inférieur à 5'000 francs. Partant, le recours relève de la compétence d'un membre de la Chambre des recours pénale du Tribunal cantonal statuant comme juge unique.</w:t>
      </w:r>
    </w:p>
    <w:p>
      <w:r>
        <w:rPr>
          <w:b/>
        </w:rPr>
        <w:t>E. 2.1</w:t>
      </w:r>
    </w:p>
    <w:p>
      <w:r>
        <w:t>Le recourant invoque une violation de son droit d'être entendu au motif que la motivation de l'ordonnance attaquée serait insuffisante. Il reproche au Ministère public, alors qu'une liste détaillée des opérations et frais de son conseil avait été produite, de ne pas avoir indiqué quelles opérations il jugeait inutiles ou superflues, le privant ainsi de la faculté de pouvoir contester de manière efficace l'ordonnance entreprise. Il ajoute que le Ministère public ne s'est pas non plus prononcé sur les vacations et frais allégués, ainsi que sur la TVA. Le recourant invoque en outre une violation de l'art. 429 al. 1 let. a CPP. Il soutient que le détail des opérations effectuées par son conseil démontre que chacune de celles-ci était indispensable pour la défense de ses intérêts et que son conseil s'était limité à ce qui était nécessaire. Il conclut que c'est à tort que le Ministère public, invoquant une complexité d'affaire « toute relative », a réduit la durée de travail de son conseil à 4 heures d'activité au lieu des 7 heures et 39 minutes invoquées.</w:t>
      </w:r>
    </w:p>
    <w:p>
      <w:r>
        <w:rPr>
          <w:b/>
        </w:rPr>
        <w:t>E. 2.2.1</w:t>
      </w:r>
    </w:p>
    <w:p>
      <w:r>
        <w:t>Le droit d'être entendu, tel qu'il est garanti par les art. 29 al. 2 Cst. (Constitution fédérale de la Confédération suisse du 18 avril 1999 ; RS 101), 3 al. 2 let. c et 107 CPP, implique pour l'autorité l'obligation de motiver sa décision, afin que le destinataire puisse la comprendre et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w:t>
      </w:r>
    </w:p>
    <w:p>
      <w:r>
        <w:t>- 7 - l'attaquer en connaissance de cause (ATF 145 IV 99 consid. 3.1 ; 143 IV 40 consid. 3.4.3 ; 142 I 135 consid. 2.1 ; 139 IV 179 consid. 2.2 ;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6B_796/2016 du 15 mai 2017 consid. 1 et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1B_532/2018 du 19 décembre 2018 ; TF 6B_1251/2016 précité).</w:t>
      </w:r>
    </w:p>
    <w:p>
      <w:r>
        <w:rPr>
          <w:b/>
        </w:rPr>
        <w:t>E. 2.2.2</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t>- 8 - L'indemnité ici visée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142 IV 45 consid. 2.1 ; 138 IV 197 consid. 2.3.5, JdT 2013 IV 184 ; TF 6B_237/2016 du 18 juillet 2016 consid. 3.1). L'État ne prend en charge les frais de défense que si l'assistance d'un avocat était nécessaire compte tenu de la complexité de l'affaire en fait ou en droit et que le volume de travail et donc les honoraires étaient ainsi justifiés (ATF 142 IV 45 précité ; TF 6B_2/2021 du 25 juin 2021 consid. 1.1.2 ; TF 6B_757/2020 du 4 novembre 2020 consid. 4.1 ; TF 6B_237/2016 précité). Il convient donc à cet égard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consid. 3b ; CREP</w:t>
      </w:r>
    </w:p>
    <w:p>
      <w:r>
        <w:rPr>
          <w:b/>
        </w:rPr>
        <w:t>E. 2.3</w:t>
      </w:r>
    </w:p>
    <w:p>
      <w:r>
        <w:t>En l'espèce, le procureur a considéré que la demande d'indemnité de V.________ était justifiée dans son principe. Estimant la complexité de l'affaire « toute relative », il a réduit les heures supposées nécessaires pour remplir le mandat de l'avocate de 7 heures et 39 minutes invoquées à 4 heures. En outre, il a retenu un tarif-horaire de 250 fr. pour l'activité déployée par l'avocate du recourant, équivalant au tarif minimum prévu à l'art. 26a al. 3 TFIP, au demeurant non contesté par le recourant. Force est de constater que la motivation fournie n'expose pas précisément quelles prestations sont tenues pour injustifiées, ni par conséquent comment les 3 heures et 39 minutes retranchées ont été calculées. En outre, dans le calcul de l'indemnité, le procureur ne se prononce pas sur les débours et la TVA. Par ailleurs, il convient de relever que ce n'est qu'à la suite de la transmission d'un bordereau de pièces attestant que, malgré le dépôt des plaques d'immatriculation auprès du SAN en septembre 2020, le recourant continuait de recevoir des amendes d'ordre contre lesquelles il formait opposition par l'intermédiaire de son conseil, que le Ministère public a procédé à de nouvelles mesures d'instruction (P.13). Celles-ci ont permis d'identifier le réel auteur des infractions qui étaient reprochées au recourant d'une part, et d'innocenter le recourant, d'autre part. Ainsi, chaque opération effectuée par le conseil du recourant s'est révélée nécessaire afin de l'innocenter et d'assurer sa défense effective. Partant, eu égard à la jurisprudence citée supra (consid. 2.2.1 et 2.2.2), il y a donc eu une violation du droit d'être entendu du recourant et de l'art. 429 al. 1 let. a CPP. Ainsi, une indemnité d'un montant total de 2'364 fr. 60, débours et TVA compris, au tarif-horaire de 250 fr., tel que retenu par le procureur, doit être octroyée à V.________ en remboursement de ses frais de défense dans le cadre de la procédure de première instance (art. 429 al. 1 let. a CPP).</w:t>
      </w:r>
    </w:p>
    <w:p>
      <w:r>
        <w:t>- 10 - 3. En définitive, le recours de V.________ doit être admis et l'ordonnance du 17 décembre 2021 réformée dans le sens des considérants. Vu l'admission du recours, les frais de procédure, constitués en l'espèce du seul émolument d'arrêt, par 900 fr. (art. 20 al. 1 TFIP), seront laissés à la charge de l'Etat (art. 428 al. 4 CPP). Le recourant, qui a procédé avec l'assistance d'un conseil de choix et a obtenu gain de cause, a droit à une indemnité pour les dépenses occasionnées par la procédure de recours (art. 429 al. 1 let. a et 436 al. 1 CPP). Au vu du mémoire produit, cette indemnité sera fixée à 750 fr., correspondant à trois heures nécessaires d'avocat au tarif-horaire de 250 fr. (art. 26a al. 3 TFIP), montant auquel il convient d'ajouter des débours forfaitaires à concurrence de 2 % des honoraires estimés (art. 19 al. 2 TDC [Tarif des dépens en matière civile du 23 novembre 2010 ; BLV 270.11.6], applicable par renvoi de l’art. 26a al. 6 TFIP), par 15 fr., plus un montant correspondant à la TVA, par 58 fr. 90, l'indemnité s'élevant ainsi à 823 fr. 90. Elle sera laissée à la charge de l'Etat (art. 423 al. 1 CPP). Par ces motifs, le juge unique prononce : I. Le recours est admis. II. L'ordonnance du 17 décembre 2021 est réformée aux chiffres II et IV de son dispositif : « II. alloue a V.________ une indemnité de 2'364 fr. 60 au sens de l'art. 429 al. 1 let. a CPP. IV. dit que Q.________ doit rembourser à l'Etat, l'indemnité de 2'364 fr. 60 allouée sous chiffre II ci-dessus. ». L'ordonnance est maintenue pour le surplus. III. Une indemnité de 823 fr. 90 (huit cent vingt-trois francs et nonante centimes) est allouée à V.________ pour les dépenses</w:t>
      </w:r>
    </w:p>
    <w:p>
      <w:r>
        <w:t>- 11 - occasionnées par la procédure de recours, à la charge de l'Etat. IV. Les frais d'arrêt, par 900 fr. (neuf cents francs), sont laissés à la charge de l'Etat. V. L’arrêt est exécutoire. Le juge unique : La greffière : Du Le présent arrêt, dont la rédaction a été approuvée à huis clos, est notifié, par l'envoi d'une copie complète, à : - Me Charlotte Palazzo, avocate (pour V.________), - Me Donnet-Monay, avocat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- 12 - pénal fédéral dans un délai de dix jours dès la notification de l’arrêt attaqué (art. 396 al. 1 CPP). La greffière :</w:t>
      </w:r>
    </w:p>
    <w:p>
      <w:r>
        <w:rPr>
          <w:b/>
        </w:rPr>
        <w:t>E. 7</w:t>
      </w:r>
    </w:p>
    <w:p>
      <w:r>
        <w:t>avril 2014/273 consid. 1b). L’autorité chargée d’apprécier le caractère raisonnable des démarches effectuées par l’avocat d’office dispose d’un large pouvoir d’appréciation (ATF 141 I 124 consid. 3.2). Elle doit juger de l’adéquation entre les activités déployées par le conseil d’office et celles</w:t>
      </w:r>
    </w:p>
    <w:p>
      <w:r>
        <w:t>- 9 - qui sont justifiées par l’accomplissement de la tâche (TF 6B_675/2015 du 2 mars 2016 consid. 3.1 ; CREP 4 juillet 2017/442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