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AM20.012472 vom 30. März 2021</w:t>
      </w:r>
    </w:p>
    <w:p>
      <w:r>
        <w:t>VD Tribunal cantonal, 2021-03-30, FR</w:t>
      </w:r>
    </w:p>
    <w:p>
      <w:r>
        <w:rPr>
          <w:b/>
        </w:rPr>
        <w:t xml:space="preserve">Quelle: </w:t>
      </w:r>
      <w:r>
        <w:t>https://mcp.opencaselaw.ch/entscheid/vd_gerichte_AM20.012472</w:t>
      </w:r>
    </w:p>
    <w:p>
      <w:r>
        <w:t>FR: VD_GERICHTE AM20.012472 du 30 mars 2021</w:t>
      </w:r>
    </w:p>
    <w:p>
      <w:r>
        <w:t>IT: VD_GERICHTE AM20.012472 del 30 marzo 2021</w:t>
      </w:r>
    </w:p>
    <w:p>
      <w:pPr>
        <w:pStyle w:val="Heading2"/>
      </w:pPr>
      <w:r>
        <w:t>Volltext</w:t>
      </w:r>
    </w:p>
    <w:p>
      <w:r>
        <w:t>TRIBUNAL CANTONAL 306 AM20.012472-GALN CHAMBRE DE S RECO URS PEN ALE __________________________________________ Arrêt du 30 mars 2021 __________________ Composition : M. PERROT, président MM. Krieger et Meylan, juges Greffière : Mme Choukroun ***** Art. 85 al. 4 let. a CPP Statuant sur le recours interjeté le 30 décembre 2020 par T.________ contre l’ordonnance rendue le 27 novembre 2020 par le Ministère public de l’arrondissement de Lausanne dans la cause n° AM20.012472-GALN, la Chambre des recours pénale considère : En fait : A. a) Par pli recommandé du 14 septembre 2020, le Ministère public de l’arrondissement de Lausanne a assigné T.________ à comparaître à une audience du 3 novembre 2020 en qualité de personne appelée à donner des renseignements. 351</w:t>
      </w:r>
    </w:p>
    <w:p>
      <w:r>
        <w:t>- 2 - Le 25 septembre 2020, le Ministère public a reçu le mandat de comparution non distribué par la Poste. Ledit mandat a été adressé à nouveau ce même jour sous pli simple. b) Par courriel et courrier du 30 octobre 2020, remis à la poste le 3 novembre 2020, T.________ a indiqué au Ministère public que son employeur ne pouvait le libérer pour la date à laquelle il était convoqué. Il a requis qu’une autre date lui soit proposée (P. 5). Par courrier A et par courriel du 2 novembre 2020, le Ministère public a avisé T.________ que l’audience du 3 novembre 2020 était maintenue et que sa présence était obligatoire, étant précisé que son employeur avait l’obligation de l’autoriser à se présenter à cette audience (P. 6). c) T.________ ne s’est pas présenté à l’audience du 3 novembre 2020. B. a) Par ordonnance du 27 novembre 2020, le Ministère public de l’arrondissement de Lausanne a condamné T.________ à une amende de 500 fr. pour défaut de comparution à l’audience du 3 novembre 2020. Le procureur a relevé que T.________ avait été régulièrement assigné à comparaître par mandat de comparution du 14 septembre 2020, qu’il avait été avisé le 2 novembre 2020, par courrier A et par courriel, que l’audience était maintenue et que sa présence était obligatoire. b) Le 7 décembre 2020, soit à l’issue du délai de garde postal, T.________ en a requis la prolongation jusqu’au 28 décembre 2020 (cf. pièces de forme). C. Par acte daté du 22 décembre 2020, mais remis à la poste le 30 décembre suivant, T.________ a interjeté un recours contre l’ordonnance du 27 novembre 2020.</w:t>
      </w:r>
    </w:p>
    <w:p>
      <w:r>
        <w:t>- 3 - Il n’a pas été ordonné d’échange d’écritures.</w:t>
      </w:r>
    </w:p>
    <w:p>
      <w:r>
        <w:t>- 4 - En d roit : 1. 1.1 Selon l'art. 64 al. 2 CPP, les amendes d’ordre infligées par le Ministère public et les tribunaux de première instance peuvent être attaquées dans les dix jours devant l’autorité de recours, qui statue définitivement. Dans le canton de Vaud, l’autorité de recours (art. 20 al. 1 let. b CPP) est la Chambre des recours pénale du Tribunal cantonal (art. 13 al. 1 LVCPP [loi d'introduction du Code de procédure pénale suisse ; BLV 312.01] ; art. 80 LOJV [loi d'organisation judiciaire ; BLV 173.01]). Le recours relève en outre de la compétence de l’autorité collégiale (CREP 20 septembre 2018/731, CREP 8 août 2016/439). 1.2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6B_723/2020 du 2 septembre 2020 consid. 1.1.1 ;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w:t>
      </w:r>
    </w:p>
    <w:p>
      <w:r>
        <w:t>- 5 -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L’ordre donné à l’office postal de conserver les envois n’est pas une mesure adéquate (ATF 141 II 429 précité ; TF 6B_1336/2017 précité ; TF 6B_754/2017 du 10 octobre 2017 consid. 2). Les accords éventuellement passés entre la Poste et le destinataire d’un envoi à remettre contre signature, relatifs à une prolongation du délai de garde à l’office postal, n’ont dès lors aucune incidence sur la computation des délais. Quel que soit l’accord intervenu, une notification fictive s’accomplit le septième jour suivant la première tentative infructueuse de remise de l’envoi. 1.2 En l’espèce, l’ordonnance contestée a été envoyée par pli recommandé du 27 novembre 2020 mais le pli n’a pas été retiré dans le délai de garde postal échéant au 7 décembre 2020. Au vu des échanges de courriers intervenus (P. 5 et 6), le recourant se savait partie à une procédure judiciaire et devait s’attendre à recevoir des notifications du Ministère public. Dans ces circonstances, et conformément à la jurisprudence rappelée ci-dessus, la demande du recourant tendant à la prolongation du délai de garde postal jusqu’au 28 décembre 2020 n’a aucune incidence sur la date de notification de l’ordonnance entreprise. Il convient ainsi de retenir que l’ordonnance entreprise a été notifiée au recourant le septième jour suivant la première tentative infructueuse de remise de l’envoi, à savoir le 7 décembre 2020. Posté le 30 décembre 2020, le recours est dès lors manifestement tardif, partant irrecevable. 2. Au vu de ce qui précède, le recours doit être déclaré irrecevable, sans échange d’écritures (art. 390 al. 2 CPP).</w:t>
      </w:r>
    </w:p>
    <w:p>
      <w:r>
        <w:t>- 6 -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T.________. III. L’arrêt est exécutoire. Le président : La greffière : Du Le présent arrêt, dont la rédaction a été approuvée à huis clos, est notifié, par l'envoi d'une copie complète, à :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