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AM20.009052 vom 16. November 2021</w:t>
      </w:r>
    </w:p>
    <w:p>
      <w:r>
        <w:t>VD Tribunal cantonal, 2021-11-16, FR</w:t>
      </w:r>
    </w:p>
    <w:p>
      <w:r>
        <w:rPr>
          <w:b/>
        </w:rPr>
        <w:t xml:space="preserve">Quelle: </w:t>
      </w:r>
      <w:r>
        <w:t>https://mcp.opencaselaw.ch/entscheid/vd_gerichte_AM20.009052</w:t>
      </w:r>
    </w:p>
    <w:p>
      <w:r>
        <w:t>FR: VD_GERICHTE AM20.009052 du 16 novembre 2021</w:t>
      </w:r>
    </w:p>
    <w:p>
      <w:r>
        <w:t>IT: VD_GERICHTE AM20.009052 del 16 novembre 2021</w:t>
      </w:r>
    </w:p>
    <w:p>
      <w:pPr>
        <w:pStyle w:val="Heading2"/>
      </w:pPr>
      <w:r>
        <w:t>Volltext</w:t>
      </w:r>
    </w:p>
    <w:p>
      <w:r>
        <w:t>TRIBUNAL CANTONAL 444 AM20.009052-GALN/PBR CO UR D’APPEL PENALE ______________________________ Séance du 8 décembre 2022 __________________ Composition : M. PELLET, président M. Sauterel et Mme Rouleau, juges Greffier : M. Jaunin ***** Parties à la présente cause : Z.________, prévenu, représenté par Me Xavier de Haller, défenseur de choix à Lausanne, appelant, et MINISTERE PUBLIC, représenté par le Procureur de l’arrondissement de Lausanne, intimé. 653</w:t>
      </w:r>
    </w:p>
    <w:p>
      <w:r>
        <w:t>- 2 - La Cour d’appel pénale statue à huis clos sur l’appel formé par Z.________ contre le jugement rendu le 16 novembre 2021 par le Tribunal de police de l’arrondissement de Lausanne dans la cause le concernant. Elle considère : En fait : A. Par jugement du 16 novembre 2021, le Tribunal de police de l’arrondissement de Lausanne a constaté que Z.________ s’est rendu coupable de violation grave des règles de la circulation routière, conduite d’un bateau en état d’ébriété avec une alcoolémie qualifiée au sens de la loi fédérale sur la navigation intérieure et contravention à la loi vaudoise sur les contraventions (I), l’a condamné à une peine privative de liberté de 90 jours et à une amende de 500 fr., convertible en 5 jours de peine privative de liberté de substitution en cas de non-paiement fautif (II) et a mis les frais de la procédure, par 1'100 fr., à sa charge (III). Par recours du 17 novembre 2021, Z.________ a demandé la récusation du Président du Tribunal de police de l’arrondissement de Lausanne, ainsi que l’annulation et la répétition des débats. B. Par annonce du 17 novembre 2021, puis déclaration motivée du 22 décembre 2021, Z.________ a interjeté appel contre ce jugement, en concluant, à sa réforme en ce sens qu’il est acquitté du chef d’accusation de violation grave des règles de la circulation routière et condamné pour conduite d’un bateau en état d’ébriété qualifiée et contravention à la loi vaudoise sur les contraventions, les frais de la cause, par 350 fr., étant mis à sa charge. Subsidiairement, il a conclu au prononcé d’une peine pécuniaire de 120 jours-amende à 80 fr. le jour ainsi qu’à une amende de 100 fr. convertible en 1 jour de peine privative de liberté de substitution en cas de non-paiement fautif, et, plus subsidiairement, à une peine</w:t>
      </w:r>
    </w:p>
    <w:p>
      <w:r>
        <w:t>- 3 - privative de liberté de 90 jours, avec sursis pendant deux ans. A titre de mesures d’instruction, il a requis la production en mains de la Police cantonale valaisanne de la photographie originale et non agrandie prise par l’appareil radar, du règlement d’utilisation de l’appareil Kuston- LaserCam 4 ainsi que de tout autre document lié à son utilisation et distribué aux agents manipulant cet appareil, et de tous documents photographiques permettant d’établir que le « pistolet » radar n’a pas dûment dérivé de son axe pendant la mesure. Enfin, il a sollicité la suspension de la procédure d’appel jusqu’à droit connu sur sa demande de récusation du Président du Tribunal de police de l’arrondissement de Lausanne. Par arrêt du 27 décembre 2021 (n° 1147), la Chambre des recours pénale a déclaré irrecevable la demande de récusation déposée le 17 novembre 2021 par Z.________. Le 6 janvier 2022, Z.________ a réitéré sa requête de suspension de la procédure d’appel jusqu’à droit connu sur la procédure de récusation. Le 11 janvier 2022, le Président de la Cour de céans a, compte tenu de l’arrêt rendu le 27 décembre 2021 par la Chambre des recours pénale, rejeté la demande de suspension de la procédure d’appel. Par courrier du 14 janvier 2022, dans le délai imparti, le Ministère public a informé la Cour de céans qu’il n’entendait ni présenter une demande de non-entrée en matière, ni déclarer un appel joint. Par avis du 19 janvier 2022, le Président de la Cour de céans a imparti à Z.________ un délai au 3 février 2022 pour lui faire savoir s’il consentait à ce que l’appel soit traité en la forme écrite, dès lors que celui- ci était dirigé contre un jugement rendu par un juge unique et que sa présence aux débats d’appel n’était pas indispensable.</w:t>
      </w:r>
    </w:p>
    <w:p>
      <w:r>
        <w:t>- 4 - Le 21 janvier 2022, le Président de la Cour de céans a rejeté les réquisitions de preuve formées par l’appelant, les conditions de l’art. 389 CPP n’étant pas réalisées. Par courrier du 15 février 2022, Z.________ a déclaré consentir à ce que l’appel soit traité dans le cadre d’une procédure écrite. Par ailleurs, il a réitéré sa requête de suspension de la procédure d’appel jusqu’à droit connu sur la procédure de récusation, en précisant avoir recouru au Tribunal fédéral contre l’arrêt rendu le 27 décembre 2021 par la Chambre des recours pénale. Le 22 février 2022, le Président de la Cour de céans a suspendu la procédure d’appel jusqu’à droit connu sur le recours formé au Tribunal fédéral contre l’arrêt rendu le 27 décembre 2021 (n° 1147) par la Chambre des recours pénale. Par arrêt du 18 mars 2022 (1B_65/2022), le Tribunal fédéral a admis le recours formé par Z.________, annulé l’arrêt attaqué et renvoyé la cause à la Chambre des recours pénale pour nouvelle décision. Par arrêt du 10 mai 2022 (n° 313), la Chambre des recours pénale a rejeté la demande de récusation du Président du Tribunal de police de l’arrondissement de Lausanne. Par arrêt du 27 septembre 2022 (1B_323/2022), le Tribunal fédéral a rejeté le recours formé par Z.________ contre cet arrêt. Par avis du 19 octobre 2022, le Président de la Cour de céans a informé Z.________ de la reprise de la procédure d’appel et lui a imparti un délai de dix jours pour lui indiquer s’il consentait à ce que celle-ci soit traitée en la forme écrite. Par courrier du 31 octobre 2022, Z.________ a consenti à la procédure écrite.</w:t>
      </w:r>
    </w:p>
    <w:p>
      <w:r>
        <w:t>- 5 - Le 6 décembre 2022, dans le délai imparti, Z.________ a déposé un mémoire d’appel, au terme duquel il a confirmé les conclusions prises dans sa déclaration d’appel du 22 décembre 2021. Il a en outre conclu à l’octroi d’une indemnité au sens de l’art. 429 CPP. Par ailleurs, il a réitéré les mesures d’instruction formulées dans sa déclaration d’appel et requis, en sus, la production en mains de la Police cantonale valaisanne de la vidéo prise lors du constat de police. C. Les faits retenus sont les suivants : 1. 1.1 Originaire de [...], Z.________ est né le [...], à [...]. Il est célibataire et exerce la profession d’économiste à la tête de sa propre entreprise. Il s’octroie mensuellement un salaire de l’ordre de 5'000 francs. Il est propriétaire de son logement à [...]. Il est également propriétaire d’un véhicule de marque Porsche qu’il aurait acheté d’occasion pour la somme de 70'000 francs. 1.2 L’extrait du casier judiciaire de Z.________ mentionne les condamnations suivantes : - 10.05.2010 : Tribunal de police de l’arrondissement de l’Est vaudois : 15 jours-amende à 40 fr. le jour, avec sursis pendant 2 ans, et amende de 320 fr. pour violation grave des règles de la circulation routière ; sursis révoqué le 18.11.2013 ; - 18.11.2013 : Cour d’appel pénale du Tribunal cantonal vaudois : 15 jours-amende à 80 fr. le jour et amende de 250 fr. pour violation grave des règles de la circulation routière et contravention à l’ordonnance sur les règles de la circulation routière.</w:t>
      </w:r>
    </w:p>
    <w:p>
      <w:r>
        <w:t>- 6 - 1.3 Selon l’extrait des mesures administratives SIAC, Z.________ a fait l’objet, entre février 2006 et décembre 2019, de neuf retraits du permis de conduire et d’un avertissement pour excès de vitesse, conduite en état d’ébriété et inattention. 2. 2.1 Le 9 mai 2020, à 19h35, dans les eaux vaudoises du Lac Léman, au large d’Ouchy, Z.________ a piloté un bateau à moteur alors qu’il se trouvait en état d’ébriété (0, 40 mg/l). En outre, il n’était pas en possession de son permis de conduire. 2.2 Le 18 juin 2020, à 15h23, sur l’autoroute A9, km 73,550, à Martigny, Z.________ a circulé au volant de son véhicule de marque Porsche, immatriculé [...], à la vitesse de 133 km/h, marge de sécurité déduite, alors que la vitesse était limitée à cet endroit à 80 km/h en raison de travaux. En d roit : 1. 1.1 Interjeté dans les formes et délais légaux (art. 385 et 399 CPP), par une partie ayant qualité pour recourir contre le jugement d’un tribunal de première instance qui a clos la procédure (art. 398 al. 1 CPP), l’appel de Z.________ est recevable. 1.2 L’appel est traité en procédure écrite dès lors qu’il est dirigé contre un jugement rendu par un juge unique, que la présence du prévenu aux débats d’appel n’est pas indispensable et que les parties y ont consenti (art. 406 al. 2 CPP). 2. Aux termes de l’art. 398 CPP, la juridiction d’appel jouit d’un plein pouvoir d’examen sur tous les points attaqués du jugement (al. 2). L’appel peut être formé pour (a) violation du droit, y compris l’excès et l’abus du pouvoir d’appréciation, le déni de justice et le retard injustifié,</w:t>
      </w:r>
    </w:p>
    <w:p>
      <w:r>
        <w:t>- 7 -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L’appelant requiert, à titre de mesures d’instruction, la production de la photographie originale prise le 18 juin 2020 par le radar, du manuel d’utilisation dudit radar, de « tout autre document photographique permettant d’établir que le « pistolet » radar n’a pas dûment dérivé de son axe pendant la mesure » et de la vidéo prise lors du constat de police. 3.1 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w:t>
      </w:r>
    </w:p>
    <w:p>
      <w:r>
        <w:t>- 8 -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 3.2 En l’espèce, Z.________ n’a jamais contesté avoir commis un excès de vitesse. En effet, entendu par la police le jour des faits, il a été renseigné sur la vitesse enregistrée par le radar, soit 137 km/h, et sur le dépassement constaté. A la question « Aviez-vous une raison particulière de circuler à cette vitesse ? », il a répondu qu’il avait un rendez-vous très important chez son notaire et qu’il croyait que la zone était limitée à 100 km/h (P. 8). Le 13 octobre 2020, lors de son audition par le procureur, il s’est uniquement déclaré surpris de l’ampleur du dépassement de vitesse, croyant à tort qu’il se trouvait dans une zone limitée à 100 km/h (PV audition 1, ll. 34 à 37). Il a encore ajouté qu’il était « un peu pressé » en raison d’un rendez-vous à [...], chez un notaire, et qu’il avait circulé « un peu plus vite que les limitations autorisées » (ibidem, ll. 78 à 80). Enfin, lors des débats de première instance, il a confirmé qu’il était « pressé » (jgt, p. 3). Il s’agit d’autant de circonstances qui expliquent l’importance de l’excès de vitesse. A l’inverse, l’appelant, qui se limite à formuler des hypothèses, ne fait valoir aucun élément concret qui permettrait de douter de la fiabilité du contrôle de vitesse effectué. Sur ce point, la Police valaisanne a produit le certificat de formation de l’opérateur radar, le certificat de vérification de l’appareil utilisé le 18 juin 2020 et une copie de la photographie prise par le radar (P. 17/1). On peut voir sur celle-ci que c’est bien la voiture de l’appelant – et non le véhicule rouge situé à droite</w:t>
      </w:r>
    </w:p>
    <w:p>
      <w:r>
        <w:t>- 9 - de l’image – qui a été visée et pointée, comme en atteste la présence du réticule de visée sur la Porsche du prévenu (cf. P. 17/4). De plus, dans son rapport du 11 mars 2021, la police valaisanne a détaillé la manière dont le contrôle de vitesse avait été opéré. Elle a en particulier confirmé que l’appareil de mesure était installé sur un trépied (P. 21). Ces éléments sont suffisants sur le plan probatoire et rien ne justifie de procéder à des plus amples vérifications. Les réquisitions de preuves doivent ainsi être rejetées. 4. L’appelant fait valoir qu’il n’aurait pas bénéficié d’un tribunal impartial. En l’occurrence, la demande de récusation déposée par l’appelant à l’encontre du Président du Tribunal de police de l’arrondissement de Lausanne a été rejetée par la Chambre des recours pénale dans son arrêt du 10 mai 2022 (n° 313), puis par le Tribunal fédéral dans son arrêt du 27 septembre 2022 (1B_323/2022), de sorte que ce moyen est infondé. Au surplus, l’effet dévolutif complet de l’appel permet de toute manière à la Cour de céans de réexaminer la condamnation prononcée en première instance. 5. L’appelant invoque une violation du principe in dubio pro reo en ce sens qu’il ne pourrait être exclu que le véhicule rouge situé à droite de la photographie prise par le radar (P. 17/4) ait faussé le contrôle, en circulant lui-même au-dessus de la vitesse autorisée. Il invoque également une violation de son droit d’être entendu, reprochant en substance au premier juge de n’avoir pas tenu compte de sa version des faits, notamment en refusant de donner suite à ses réquisitions de preuves. 5.1 5.1.1 Le droit d'être entendu, garanti à l'art. 29 al. 2 Cst., comprend notamment celui de produire ou de faire administrer des preuves, à condition qu'elles soient pertinentes et de nature à influer sur la décision à rendre (ATF 145 I 73 consid. 7.2.2.1 ; ATF 143 V 71 consid. 4.1 ; ATF 142 II 218 consid. 2.3 ; ATF 140 I 285 consid. 6.3.1 et les références citées). Le</w:t>
      </w:r>
    </w:p>
    <w:p>
      <w:r>
        <w:t>- 10 -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 ATF 141 I 60 consid. 3.3 ; ATF 136 I 229 consid. 5.3 ; TF 6B_66/2022 du 19 avril 2022 consid. 2.1). 5.1.2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5.1.3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w:t>
      </w:r>
    </w:p>
    <w:p>
      <w:r>
        <w:t>- 11 -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5.2 La Cour de céans ne distingue aucune violation du droit d’être entendu, la version de l’appelant ayant dûment été examinée par le premier juge (cf. jgt, p. 7), pas plus qu’une violation de la présomption d’innocence. A cet égard, les preuves figurant au dossier, qui ne sont pas contestées pour l’ébriété du 9 mai 2020 et qui sont suffisantes, comme on l’a vu (supra consid. 3.2), pour l’excès de vitesse, permettent de condamner l’appelant, sans aucun doute raisonnable, pour violation grave des règles de la circulation routière et conduite d’un bateau en état d’ébriété qualifiée.</w:t>
      </w:r>
    </w:p>
    <w:p>
      <w:r>
        <w:t>- 12 - 6. Invoquant une violation de l’art. 41 CP, l’appelant fait grief au premier juge d’avoir prononcé une peine privative de liberté en lieu et place d’une peine pécuniaire. Sur ce point, il relève que son casier judiciaire ne comporte que deux condamnations pour des infractions routières, la dernière en novembre 2013 pour des faits survenus en mai 2011. Il conteste par ailleurs toute absence de prise en conscience, exposant en substance qu’il a toujours admis, par le passé, le bien-fondé des sanctions prononcées à son encontre. Enfin, il soutient qu’un retrait du permis de conduire constitue une mesure suffisante pour garantir la sécurité publique. A titre subsidiaire, l’appelant considère que le Tribunal de police aurait dû assortir la peine privative de liberté d’un sursis de deux ans. A cet égard, il estime que les mesures administratives prononcées à son encontre n’ont concerné que des infractions de peu de gravité, qu’à l’exception d’infractions au code de la route, son casier judiciaire est vierge de toute autre inscription, que sa réputation professionnelle est irréprochable et qu’il est un homme honnête.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- 13 -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6.1.2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w:t>
      </w:r>
    </w:p>
    <w:p>
      <w:r>
        <w:t>- 14 -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6.1.3 Le juge suspend en règle générale l'exécution d'une peine pécuniaire ou d'une peine privative de liberté de deux au plus lorsqu'une peine ferme ne paraît pas nécessaire pour détourner l'auteur d'autres crimes ou délits (art. 42 al. 1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6.2 En l’occurrence, à l’instar du premier juge, la Cour de céans constate que l’appelant est un multirécidiviste en matière d’infractions à la loi sur la circulation routière, comme en témoignent les deux</w:t>
      </w:r>
    </w:p>
    <w:p>
      <w:r>
        <w:t>- 15 - condamnations mentionnées dans son casier judiciaire et les dix mesures administratives, dont neuf retraits du permis de conduire, détaillées dans l’extrait SIAC. Les retraits de permis ont été pour de nombreux excès de vitesse et plusieurs ébriétés. Or, aucune des sanctions prononcées, que ce soit sur plan pénal ou administratif, n’a eu le moindre effet sur son comportement délictuel. Dans ces conditions, on ne voit pas en quoi le prononcé d’une peine pécuniaire pourrait influer sur l’appelant, qui, malgré deux condamnations pénales et de multiples retraits de son permis de conduire qui auraient dû constituer autant d’avertissements, n’a jamais cru bon de remettre en question son comportement au volant. Ce sont donc évidemment des motifs de prévention spéciale qui dictent le choix d’une peine privative de liberté. Seule une sanction de cette nature est susceptible d’exercer un effet de contention sur l’appelant. Cela étant, avec le premier juge (cf. jgt, p. 8), il faut constater que la culpabilité de l’appelant est lourde et sa prise de conscience très faible. Celui-ci a à nouveau conduit au mépris de la sécurité routière, en circulant à une vitesse de 133 km/h, sur une zone de travaux, connue et annoncée, limitée à 80 km/h. Son comportement était d’autant plus dangereux qu’il n’était pas seul sur la route, comme l’atteste la photographie prise par le radar (cf. P. 17/4). Un peu plus d’un mois après, il commettait une conduite en état d’ébriété sur un bateau. Par conséquent, il y a lieu de sanctionner la violation grave des règles de la circulation, qui constitue abstraitement l’infraction la plus grave, de 60 jours de peine privative de liberté. Par l’effet du concours, cette peine doit être augmentée de 30 jours pour réprimer la conduite d’un bateau en état d’ébriété qualifiée, ce qui conduit à retenir, comme l’a fait le première juge, une peine privative de liberté de 90 jours. Cette peine ne sera pas assortie du sursis, le pronostic étant défavorable. En effet, comme on l’a vu ci-dessus, l’appelant est un multirécidiviste en matière d’infractions au code de la route, insensible aux sanctions prononcées à son encontre et qui n’a jamais démontré la moindre réelle remise en question. Il s’ensuit que la peine privative de liberté de 90 jours prononcées en première instance doit être confirmée. Il en sera de même de l’amende de 500 fr. destinée à sanctionner la</w:t>
      </w:r>
    </w:p>
    <w:p>
      <w:r>
        <w:t>- 16 - contravention commise, celle-ci étant adéquate au regard de la situation personnelle de l’appelant. 7. Au vu de ce qui précède, l’appel doit être rejeté et le jugement entrepris confirmé. Vu l’issue de la cause, les frais de la procédure d’appel, constitués du seul émolument de jugement, par 1’540 fr. (art. 21 al. 1 TFIP), seront mis à la charge de Z.________, qui succombe (art. 428 al. 1 CPP). Pour ce même motif, il n’y a pas lieu de lui allouer une indemnité au sens de l’art. 429 CPP. Par ces motifs, la Cour d’appel pénale, en application des art. 41, 47, 49 al.1, 50, 106 CP ; 90 al. 2 LCR ad art. 27 al. 1 LCR et 4a al. 5 OCR ; 41 al. 1 LNI ; 25 al. 1 LContr ad art. 8 du règlement de la navigation sur le Léman ; 398 ss, 422 ss CPP, prononce : I. L’appel est rejeté. II. Le jugement rendu le 16 novembre 2021 par le Tribunal de Police de l’arrondissement de Lausanne est confirmé selon le dispositif suivant : « I. constate que Z.________ s’est rendu coupable de violation grave des règles de la circulation routière, conduite d'un bateau en état d'ébriété avec une alcoolémie qualifiée au sens de la LF sur la navigation intérieure (art. 41 al.1 LNI) et contravention à la loi vaudoise sur les contraventions (art. 25 al. 1 LContr) ; II. condamne Z.________ à une peine privative de liberté de 90 (nonante) jours et à une amende de CHF 500.- (cinq cents</w:t>
      </w:r>
    </w:p>
    <w:p>
      <w:r>
        <w:t>- 17 - francs), peine convertible en 5 (cinq) jours de peine privative de liberté de substitution en cas de non-paiement fautif ; III. met les frais de la procédure par CHF 1’100.- à la charge de Z.________. » III. Les frais de la procédure d’appel, par 1’540 fr., sont mis à la charge de Z.________. IV. Le présent jugement est exécutoire. Le président : Le greffier : Du Le jugement qui précède, dont la rédaction a été approuvée à huis clos, est notifié, par l'envoi d'une copie complète, à : - Me Xavier de Haller, avocat (pour Z.________), - Ministère public central, et communiqué à : - M. le Président du Tribunal de police de l’arrondissement de Lausanne, - M. le Procureur de l’arrondissement de Lausanne, par l'envoi de photocopies.</w:t>
      </w:r>
    </w:p>
    <w:p>
      <w:r>
        <w:t>- 18 -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