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AM19.023449 vom 16. März 2021</w:t>
      </w:r>
    </w:p>
    <w:p>
      <w:r>
        <w:t>VD Tribunal cantonal, 2021-03-16, FR</w:t>
      </w:r>
    </w:p>
    <w:p>
      <w:r>
        <w:rPr>
          <w:b/>
        </w:rPr>
        <w:t xml:space="preserve">Quelle: </w:t>
      </w:r>
      <w:r>
        <w:t>https://mcp.opencaselaw.ch/entscheid/vd_gerichte_AM19.023449</w:t>
      </w:r>
    </w:p>
    <w:p>
      <w:r>
        <w:t>FR: VD_GERICHTE AM19.023449 du 16 mars 2021</w:t>
      </w:r>
    </w:p>
    <w:p>
      <w:r>
        <w:t>IT: VD_GERICHTE AM19.023449 del 16 marzo 2021</w:t>
      </w:r>
    </w:p>
    <w:p>
      <w:pPr>
        <w:pStyle w:val="Heading2"/>
      </w:pPr>
      <w:r>
        <w:t>Erwägungen</w:t>
      </w:r>
    </w:p>
    <w:p>
      <w:r>
        <w:rPr>
          <w:b/>
        </w:rPr>
        <w:t>E. 1</w:t>
      </w:r>
    </w:p>
    <w:p>
      <w:r>
        <w:t>- 3 -</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Kuhn/Jeanneret/Perrier Depeursinge [éd.], Commentaire romand, Code de procédure pénale suisse (ci-après : CR-CPP), Bâle 2019,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Le recourant reproche au Ministère public de ne pas s’être prononcé sur sa demande de restitution du délai pour former opposition du 17 février 2021. Il soutient que son avocat aurait eu connaissance de l’ordonnance pénale du 11 décembre 2020 seulement le 16 février 2021, que ce dernier aurait eu beaucoup de travail durant la période de Noël, qu’il aurait été souvent en déplacement professionnel, que son étude aurait été fermée du 22 décembre 2020 à début janvier 2021, que sa secrétaire aurait rangé cette ordonnance dans un autre dossier du recourant, et qu’elle n’aurait pas informé l’avocat de sa notification.</w:t>
      </w:r>
    </w:p>
    <w:p>
      <w:r>
        <w:t>- 4 - X.________ fait valoir qu’il n’aurait pas de ressources financières, qu’il ne travaillerait plus depuis le début de la pandémie du Covid-19, qu’il ne percevrait que le « SMIC » en [...], soit un « minimum vital pour survivre », et qu’il ne pourrait pas s’acquitter d’un montant supérieur à 10 fr. par jour pour sa peine pécuniaire. Le recourant soutient encore que l’interdiction de circuler serait trop longue et qu’il ne pourrait pas venir travailler en Suisse.</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- 5 -</w:t>
      </w:r>
    </w:p>
    <w:p>
      <w:r>
        <w:rPr>
          <w:b/>
        </w:rPr>
        <w:t>E. 2.4</w:t>
      </w:r>
    </w:p>
    <w:p>
      <w:r>
        <w:t>En l’espèce, le recourant ne conteste pas la tardiveté de l’opposition, mais invoque des circonstances nouvelles (surcharge de travail à Noël et erreur de classement de l’ordonnance pénale du 11 décembre 2020 par la secrétaire de son avocat) qui excuserait le retard. Pour le surplus, il fait valoir des griefs de fond. Or, la Cour de céans est uniquement compétente pour examiner le bien-fondé du prononcé attaqué, soit le caractère tardif ou non de l’opposition formée par le recourant à l’ordonnance pénale, la question de la restitution du délai ne relevant à ce stade pas de sa compétence, mais de celle du Ministère public (CREP 4 juillet 2018/510). Il ressort du dossier que l’ordonnance pénale du 11 décembre 2020 a été notifiée au recourant le 15 décembre 2020, de sorte que le délai de l’art. 354 al. 1 CPP est arrivé à échéance le 25 décembre 2020 et qu’il a été reporté au 28 décembre 2020 (cf. JdT 2015 III 212). Or, l’opposition du recourant n’a été déposée que le 18 février 2021 (date du timbre postal). Compte tenu de ce qui précède, la Chambre de céans ne peut que constater que l’opposition n’a pas été déposée en temps utile. Par conséquent, c'est à bon droit que le Tribunal de police de l'arrondissement de l'Est vaudois l'a déclarée irrecevable.</w:t>
      </w:r>
    </w:p>
    <w:p>
      <w:r>
        <w:rPr>
          <w:b/>
        </w:rPr>
        <w:t>E. 3</w:t>
      </w:r>
    </w:p>
    <w:p>
      <w:r>
        <w:t>En définitive, le recours, manifestement mal fondé, doit être rejeté sans échange d’écritures (art. 390 al. 2 CPP) et le prononcé du 2 mars 2021 confirmé.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Le prononcé du 2 mars 2021 est confirmé. III. Les frais d’arrêt, par 550 fr. (cinq cent cinquante francs), sont mis à la charge de X.________. IV. L’arrêt est exécutoire. Le président : La greffière : Du Le présent arrêt, dont la rédaction a été approuvée à huis clos, est notifié, par l'envoi d'une copie complète, à : - Me Joachim Lederle, avocat (pour M. X.________), - Ministère public central, et communiqué à : - M. le Président du Tribunal de police de l’arrondissement de l’Est vaudois, - M. le Procureur de l’arrondissement de l’Est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