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AM19.010515 vom 5. August 2019</w:t>
      </w:r>
    </w:p>
    <w:p>
      <w:r>
        <w:t>VD Tribunal cantonal, 2019-08-05, FR</w:t>
      </w:r>
    </w:p>
    <w:p>
      <w:r>
        <w:rPr>
          <w:b/>
        </w:rPr>
        <w:t xml:space="preserve">Quelle: </w:t>
      </w:r>
      <w:r>
        <w:t>https://mcp.opencaselaw.ch/entscheid/vd_gerichte_AM19.010515</w:t>
      </w:r>
    </w:p>
    <w:p>
      <w:r>
        <w:t>FR: VD_GERICHTE AM19.010515 du 5 août 2019</w:t>
      </w:r>
    </w:p>
    <w:p>
      <w:r>
        <w:t>IT: VD_GERICHTE AM19.010515 del 5 agosto 2019</w:t>
      </w:r>
    </w:p>
    <w:p>
      <w:pPr>
        <w:pStyle w:val="Heading2"/>
      </w:pPr>
      <w:r>
        <w:t>Erwägungen</w:t>
      </w:r>
    </w:p>
    <w:p>
      <w:r>
        <w:rPr>
          <w:b/>
        </w:rPr>
        <w:t>E. 23</w:t>
      </w:r>
    </w:p>
    <w:p>
      <w:r>
        <w:t>juillet 2019, en concluant en substance à sa réforme en ce sens qu’un</w:t>
      </w:r>
    </w:p>
    <w:p>
      <w:r>
        <w:t>- 3 - défenseur d’office lui soit désigné dans le cadre de la procédure AM19.010515-AMEV. Il a en outre requis que l’Etat de Vaud soit condamné au paiement de la somme de 1'765 fr. 45 à titre de dépens pour la défense de choix de la présente procédure. Il n’a pas été ordonné d’échange d’écritures. En d roit : 1. 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formé par J.________ est recevable (Moreillon/Parein- Reymond, Code de procédure pénale, Petit commentaire, 2e éd., Bâle 2016, n. 18 ad art. 132 CPP ; CREP 17 août 2017/542 consid. 1 et les références citées). 2. 2.1 Le recourant requiert la désignation d’un défenseur d’office. Il fait valoir son indigence et considère que l’assistance d’un avocat serait nécessaire pour sauvegarder ses intérêts dans le cadre de la présente procédure. S'agissant de la gravité de la peine encourue, Il fait valoir qu’il risque concrètement une peine privative de liberté de 120 jours – ce qui correspond exactement à la limite du cas grave de l'art. 132 al. 3 CPP – et qu’au vu des antécédents, il est très improbable qu'il bénéficie d'un sursis. Par ailleurs, s'agissant de la difficulté objective de la procédure, le recourant relève qu’il a, depuis 2013, été condamné pour séjour illégal à plusieurs reprises, à des peines pécuniaires et des peines privatives de liberté dont le cumul atteint 120 jours de peine privative de liberté, et qu’on ne saurait attendre d'un plaideur en personne qu'il appréhende, seul, les subtilités qu'engendre, compte tenu de la multiplicité des</w:t>
      </w:r>
    </w:p>
    <w:p>
      <w:r>
        <w:t>- 4 - procédures pour séjour illégal dont il a fait l'objet, l'applicabilité de la jurisprudence du Tribunal fédéral sur le délit continu en matière de législation sur les étrangers, voire de la directive sur le retour et des conséquences de la reprise de l'acquis Schengen. Enfin, s'agissant de la difficulté subjective de la cause, le recourant relève qu’il ne maîtrise que très mal le français et qu’il n'a aucune connaissance juridique particulière. 2.2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w:t>
      </w:r>
    </w:p>
    <w:p>
      <w:r>
        <w:t>- 5 -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 2.3 En l’espèce, il est reproché au recourant d’avoir séjourné illégalement en Suisse. Force est de constater que les faits ne présentent aucune complexité. En outre, l’infraction retenue ne pose pas de problème de compréhension particulier qui nécessiterait d’avoir suivi une formation juridique. Entendu par le Ministère public, le recourant a d’ailleurs pu s’expliquer de manière claire sur les faits et a bien compris ce qui lui était reproché. De plus, il a déjà fait opposition – seul – à l’ordonnance pénale du 5 juillet 2019 rendue à son encontre. Dans ces conditions, le droit ne présente pas non plus de difficultés qu’il ne pourrait pas surmonter seul. Par ailleurs, quoi qu’en dise J.________, l’affaire est de peu de gravité au sens de l’art. 132 al. 2 CPP, a contrario. En effet, l’ordonnance pénale contre laquelle il a fait opposition le condamne à une peine privative de liberté de 120 jours, soit en dessous de la limite légale de l’art. 132 al. 3 CPP. Dans ces conditions, il n’est pas nécessaire d’instruire le point de savoir si le recourant ne dispose pas des moyens nécessaires au sens de la jurisprudence (TF 1B_347/2018 du 10 janvier 2019 consid. 3.1). Au vu de ce qui précède, les conditions prévues à l’art. 132 al. 1 let. b CPP ne sont pas réalisées. C’est donc à bon droit que la Procureure a refusé de nommer un défenseur d’office au recourant.</w:t>
      </w:r>
    </w:p>
    <w:p>
      <w:r>
        <w:t>- 6 - 3. 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 En outre, aucune indemnité ne sera allouée au vu de l’issue du recours. Par ces motifs, la Chambre des recours pénale prononce : I. Le recours est rejeté. II. L’ordonnance du 23 juillet 2019 est confirmée. III. Les frais d’arrêt, par 550 fr. (cinq cent cinquante francs), sont mis à la charge de J.________. IV. L’arrêt est exécutoire. Le président : Le greffier : Du Le présent arrêt, dont la rédaction a été approuvée à huis clos, est notifié, par l'envoi d'une copie complète, à : - Me Damien Menut (pour J.________), - Ministère public central,</w:t>
      </w:r>
    </w:p>
    <w:p>
      <w:r>
        <w:t>- 7 - et communiqué à : - Mme la Procureure de l’arrondissement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