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AM19.009345 vom 6. Februar 2020</w:t>
      </w:r>
    </w:p>
    <w:p>
      <w:r>
        <w:t>VD Tribunal cantonal, 2020-02-06, FR</w:t>
      </w:r>
    </w:p>
    <w:p>
      <w:r>
        <w:rPr>
          <w:b/>
        </w:rPr>
        <w:t xml:space="preserve">Quelle: </w:t>
      </w:r>
      <w:r>
        <w:t>https://mcp.opencaselaw.ch/entscheid/vd_gerichte_AM19.009345</w:t>
      </w:r>
    </w:p>
    <w:p>
      <w:r>
        <w:t>FR: VD_GERICHTE AM19.009345 du 6 février 2020</w:t>
      </w:r>
    </w:p>
    <w:p>
      <w:r>
        <w:t>IT: VD_GERICHTE AM19.009345 del 6 febbraio 2020</w:t>
      </w:r>
    </w:p>
    <w:p>
      <w:pPr>
        <w:pStyle w:val="Heading2"/>
      </w:pPr>
      <w:r>
        <w:t>Volltext</w:t>
      </w:r>
    </w:p>
    <w:p>
      <w:r>
        <w:t>TRIBUNAL CANTONAL 98 AM19.009345-HNI CO UR D’APPEL PENALE ______________________________ Séance du 6 février 2020 __________________ Composition : M. STOUDMANN, président MM. Sauterel et Winzap, juges Greffier : M. Glauser ***** Parties à la présente cause : H.________, prévenu, représenté par Me Laurent Métrailler, défenseur de choix à Monthey, requérant, et MINISTÈRE PUBLIC, représenté par le Procureur de l'arrondissement de l'Est vaudois, intimé. 653</w:t>
      </w:r>
    </w:p>
    <w:p>
      <w:r>
        <w:t>- 2 - La Cour d’appel pénale prend séance à huis clos pour statuer sur la demande de révision formée par H.________ contre l'ordonnance pénale rendue le 7 juin 2019 par le Ministère public de l'arrondissement de l'Est vaudois dans la cause le concernant. Elle considère : En fait : A. a) Le 15 mars 2019, le véhicule immatriculé [...] au nom de H.________ a été contrôlé sur la Route de Chexbres, à Savigny, à une vitesse nette de 76 km/h au lieu des 50 km/h autorisés. Le 21 mars 2019, la Police de l'Est lausannois a adressé à H.________ un avis l'informant de l'infraction commise par le véhicule immatriculé à son nom et lui fixant un délai de dix jours pour lui communiquer son identité complète ou, le cas échéant, celle de la personne responsable. Cet avis comportait en outre la mention "MESURE SUITE A LA MISE EN APPLICATION DU CODE DE PROCEDURE PENALE" en caractères gras et majuscules. Le 1er avril 2019, H.________ a répondu qu'il avait bien pris connaissance de cet avis et qu'il souhaitait obtenir la photographie afin de pouvoir indiquer qui était au volant, dès lors que plusieurs personnes étaient susceptibles d'avoir commis l'infraction. Le 2 avril 2019, la Police de l'Est lausannois lui a répondu que le traitement de l'infraction était du ressort du Ministère public et que sa requête était transmise à l'autorité compétente. Le 4 avril 2019, le police de l'Est lausannois a envoyé à H.________ un mandat de comparution le convoquant au poste de police de Pully le jeudi 11 avril 2019 à 11 heures.</w:t>
      </w:r>
    </w:p>
    <w:p>
      <w:r>
        <w:t>- 3 - Le 11 avril 2019, la police de l'Est lausannois a envoyé à H.________ un mandat de comparution le convoquant au poste de police de Pully le lundi 29 avril 2019 à 11 heures. La police a établi un rapport de constat de l'infraction daté du 2 mai 2019, ensuite que le prévenu ait fait défaut aux deux convocations précitées. b) Par ordonnance pénale du 7 juin 2019, le Ministère public de l'arrondissement de l'Est vaudois a condamné H.________ à 20 jours- amende à 90 fr. avec sursis pendant 2 ans et à une amende de 450 fr., convertible en 5 jours de peine privative de liberté de substitution en cas de non-paiement fautif, pour violation grave des règles de la circulation routière. Le 25 juin 2019, le Ministère public a renvoyé à H.________ l'ordonnance pénale précitée par courrier simple, dès lors que le pli recommandé contenant cette ordonnance est revenu à l'expéditeur avec la mention "non réclamé". c) Le 25 juin 2019, le Service de la circulation routière du canton du Valais a informé H.________ que l'infraction du 15 mars 2019 lui avait été dénoncée et lui a fixé un délai pour se déterminer. Le 1er juillet 2019, H.________ a écrit un courriel au Service précité, expliquant qu'il n'était pas au volant de son véhicule lors de l'infraction dénoncée. S'en est suivi un échange de courriels aux termes duquel H.________ a transmis les coordonnées de [...], domicilié en Sicile, dont il a prétendu qu'il serait l'auteur de l'infraction. B. Par acte du 3 février 2020 adressé à la Cour d'appel pénale du Tribunal cantonal, H.________ a demandé la révision de l'ordonnance pénale du</w:t>
      </w:r>
    </w:p>
    <w:p>
      <w:r>
        <w:t>- 4 - 7 juin 2019 et a conclu à son annulation, les frais et dépens étant laissés à la charge de l'Etat. En d roit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L'art. 410 al. 1 let. a CPP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ATF 130 IV 72 consid. 1; TF 6B_426/2018 du 5 juillet 2018 consid. 3.2).</w:t>
      </w:r>
    </w:p>
    <w:p>
      <w:r>
        <w:t>- 5 - 1.2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nouveau droit de procédure le 1er janvier 2011, garde sa portée (TF 6B_509/2016 du 21 décembre 2016 consid. 2; TF 6B_1291/2015 du 14 mars 2016 consid. 4.1 et les arrêts cités; CAPE 30 octobre 2018/444; CAPE 13 mars 2017/121). 1.3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w:t>
      </w:r>
    </w:p>
    <w:p>
      <w:r>
        <w:t>- 6 - preuve qu'il allègue (art. 385 CPP, applicable à la demande de révision;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1.4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 2. 2.1 A l'appui de sa demande de révision, le requérant fait en substance valoir qu'il n'est pas l'auteur de l'infraction, qu'il a livré l'identité de l'auteur à l'autorité administrative qui a prononcé une interdiction de conduire en Suisse à l'encontre de [...], qu'il était en déplacement à l'étranger et avait fait garder son courrier lorsque la police l'a convoqué, qu'il n'a ainsi pas reçu l'ordonnance pénale, qu'il aurait pris connaissance de celle-ci lors d'une condamnation ultérieure et, enfin, qu'il n'aurait pas fait la distinction entre la procédure pénale et la procédure administrative.</w:t>
      </w:r>
    </w:p>
    <w:p>
      <w:r>
        <w:t>- 7 - 2.2 L’ordonnance pénale est notifiée par écrit aux personnes et aux autorités qui ont qualité pour former opposition (art. 353 al. 3 CPP). Peuvent former opposition contre l’ordonnance pénale, par écrit et dans les dix jours, le prévenu, notamment (art. 354 al. 1 CPP).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TF 6B_553/2008 du 27 août 2008 consid. 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et les références</w:t>
      </w:r>
    </w:p>
    <w:p>
      <w:r>
        <w:t>- 8 - citées; TF 6B_936/2018 du 4 décembre 2018 consid. 1.1).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TF 6B_1336/2017 précité; TF 6B_754/2017 du 10 octobre 2017 consid. 2). 2.3 En l'espèce, H.________ se savait partie à une procédure pénale dès l'avis que lui a adressé la Police de l'Est lausannois le 21 mars 2019 – auquel il a répondu, ce qui démontre qu'il en a eu connaissance – et qui comportait la mention expresse, en caractères gras et majuscules, de la mise œuvre d'une procédure pénale. Il devait dès lors s'attendre à recevoir des communications judiciaires et était tenu de relever son courrier ou de le faire suivre, ce qu'il n'a pas fait, l'ordre donné à l'office postal de conserver les envois n'étant pas une mesure adéquate au sens de la jurisprudence fédérale (cf. supra consid. 2.2 et les arrêts cités). Il s'ensuit que le pli recommandé contenant l'ordonnance pénale litigieuse, qui a été envoyé au requérant le 11 juin 2019 et qui est venu en retour au terme du délai de garde (P. 6), est censé avoir été valablement notifié à l'intéressé à cette échéance, en application de la fiction de notification prévue à l'art. 85 al. 4 let. a CPP. Or, il appartenait au requérant de former opposition contre l'ordonnance pénale du 7 juin 2019 s'il souhaitait la contester, le cas échéant de demander la restitution du délai d'opposition, ce qu'il n'a pas fait, de sorte que celle-ci est devenue définitive et exécutoire.</w:t>
      </w:r>
    </w:p>
    <w:p>
      <w:r>
        <w:t>- 9 - Cela étant, le requérant n'indique pas quel serait le fait nouveau ou le moyen de preuve nouveau qui justifierait la révision de l'ordonnance pénale précitée. Les faits invoqués dans la demande de révision, soit notamment que H.________ ne serait pas l'auteur de l'infraction et qu'il s'agirait en réalité de [...], ne sont pas nouveaux. Ils étaient connus de l'intéressé au moment où il aurait pu former opposition contre l'ordonnance pénale litigieuse et il aurait ainsi pu faire valoir ces moyens dans le cadre de la procédure ordinaire. Pour le surplus, on ne voit pas en quoi le fait que l'autorité administrative ait prononcé une interdiction de conduire en Suisse à l'encontre de [...] serait de nature à modifier l'issue de la présente cause. Il est en outre sans pertinence que le requérant prétende n'avoir pas différencié procédure pénale et administrative. Il s'ensuit que la demande de révision est abusive (cf. supra consid. 1.2). 3. Il résulte de ce qui précède que la demande de révision déposée par H.________ doit être déclarée irrecevable, sans échange d'écritures (art. 412 al. 2 CPP). Exceptionnellement, les frais de la procédure de révision, par 880 fr. (art. 21 al. 1 et 22 TFIP [Tarif des frais de procédure et indemnités en matière pénale du 28 septembre 2010; BLV 312.03.1]), seront laissés à la charge de l'Etat.</w:t>
      </w:r>
    </w:p>
    <w:p>
      <w:r>
        <w:t>- 10 - Par ces motifs, la Cour d’appel pénale, en application des art. 410 al. 1 let. a et 412 al. 2 CPP, prononce : I. La demande de révision est irrecevable. II. Les frais de la procédure de révision, par 880 fr. (huit cent huitante francs), sont laissés à la charge de l'Etat. III. Le présent jugement est exécutoire. Le président : Le greffier : Du Le jugement qui précède, dont la rédaction a été approuvée à huis clos, est notifié, par l'envoi d'une copie complète, à : - Me Laurent Métrailler, avocat (pour H.________), - Ministère public central, et communiqué à : - M. le Procureur de l'arrondissement de l'Est vaudois,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