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AM18.024415 vom 15. März 2019</w:t>
      </w:r>
    </w:p>
    <w:p>
      <w:r>
        <w:t>VD Tribunal cantonal, 2019-03-15, FR</w:t>
      </w:r>
    </w:p>
    <w:p>
      <w:r>
        <w:rPr>
          <w:b/>
        </w:rPr>
        <w:t xml:space="preserve">Quelle: </w:t>
      </w:r>
      <w:r>
        <w:t>https://mcp.opencaselaw.ch/entscheid/vd_gerichte_AM18.024415</w:t>
      </w:r>
    </w:p>
    <w:p>
      <w:r>
        <w:t>FR: VD_GERICHTE AM18.024415 du 15 mars 2019</w:t>
      </w:r>
    </w:p>
    <w:p>
      <w:r>
        <w:t>IT: VD_GERICHTE AM18.024415 del 15 marzo 2019</w:t>
      </w:r>
    </w:p>
    <w:p>
      <w:pPr>
        <w:pStyle w:val="Heading2"/>
      </w:pPr>
      <w:r>
        <w:t>Volltext</w:t>
      </w:r>
    </w:p>
    <w:p>
      <w:r>
        <w:t>TRIBUNAL CANTONAL 347 AM18.024415-HNI CO UR D’APPEL PENALE ______________________________ Séance du 27 août 2019 __________________ Composition : M. WINZAP, président MM. Maillard et Stoudmann, juges Greffière : Mme de Benoit ***** Parties à la présente cause : X.________, requérant, domicilié à [...], et MINISTERE PUBLIC, représenté par le Procureur de l’arrondissement de l’Est vaudois, intimé. 653</w:t>
      </w:r>
    </w:p>
    <w:p>
      <w:r>
        <w:t>- 2 - La Cour d’appel pénale prend séance à huis clos pour statuer sur la demande de révision formée par X.________ contre l’ordonnance pénale rendue le 15 mars 2019 par la Cour d’appel pénale du Tribunal cantonal dans la cause le concernant. Elle considère : En fait : A. a) Par ordonnance du 15 mars 2019, le Ministère public de l’arrondissement de l’Est vaudois (ci-après : le Ministère public) a déclaré X.________ coupable d’infractions et contraventions à la LCR (loi fédérale sur la circulation routière du 19 décembre 1958 ; RS 741.01), ainsi que de contravention à la LStup (loi fédérale sur les stupéfiants et les substances psychotropes du 3 octobre 1951 ; RS 812.121) (I), a révoqué le sursis qui lui avait été octroyé le 11 août 2017 par le Ministère public de l’arrondissement de l’Est vaudois (II), a fixé la peine d’ensemble à 140 jours-amende, le montant du jour-amende étant fixé à 30 fr. (III), et a mis les frais de procédure, par 2'163 fr. 70, à la charge de X.________ (IV). Les faits retenus étaient les suivants : A Vevey, avenue de la Gare, le 13 décembre 2018 vers 00h50, X.________ a circulé au guidon d’un motocycle sous l’influence de stupéfiants (consommation de morphine avérée) et en avoir perdu la maîtrise, chutant de ce fait au sol. Il a ensuite été aidé par des passants pour relever sa moto et la stationner sur le trottoir. Malgré les débris qui se trouvaient au milieu de la chaussée, il a quitté les lieux et s’est réfugié dans un hôtel, tentant ainsi de se soustraire à un contrôle de son état physique. b) Le 26 mars 2019, X.________ a fait opposition à l’ordonnance pénale précitée en faisant valoir qu’il n’était pas prouvé qu’il avait</w:t>
      </w:r>
    </w:p>
    <w:p>
      <w:r>
        <w:t>- 3 - consommé de la morphine. Il a également contesté avoir eu l’intention de fuir. Lors de l’audience du 25 avril 2019 devant le Ministère public, X.________ a retiré son opposition. Il a admis avoir consommé des stupéfiants et a indiqué qu’il ne contestait pas le rapport de l’Institut de Chimie Clinique (P. 7). Le 26 avril 2019, le Ministère public a pris acte du retrait de l’opposition (I), a dit que l’ordonnance pénale du 15 mars 2019 devenait exécutoire (II) et a dit que cette décision était rendue sans frais (III). B. Par acte du 7 août 2019 déposé auprès du Tribunal cantonal, X.________ a en substance conclu à la révision de l’ordonnance pénale précitée, en ce sens qu’il soit libéré du chef d’inculpation d’infractions et de contravention à la LStup. A l’appui de sa demande, il a produit un lot de pièces. En d roit : 1. 1.1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La demande de révision doit être motivée et adressée par écrit à la juridiction d’appel, les</w:t>
      </w:r>
    </w:p>
    <w:p>
      <w:r>
        <w:t>- 4 - motifs de révision devant être exposés et justifiés dans la demande (art. 411 al. 1 CPP). Le requérant, en tant que condamné, a qualité pour demander la révision de l’ordonnance pénale du 15 mars 2019. Dans cette mesure, la procédure écrite est applicable (art. 412 al. 1 in fine CPP). 1.2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Pour être valides en la forme, les demandes de révision doivent être motivées et adressées par écrit à la juridiction d’appel, les motifs de révision devant être exposés et justifiés dans la demande (art. 411 al. 1 CPP ; Heer, Basler Kommentar, Schweizerische Strafprozessordnung, Jugenstrafprozessordung,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w:t>
      </w:r>
    </w:p>
    <w:p>
      <w:r>
        <w:t>- 5 - (Moreillon/Parein-Reymond, Petit commentaire, Code de procédure pénale, 2e éd., Bâle 2016, n. 3 ad art. 412 CPP). La juridiction d'appel n'entre pas en matière si la demande de révision est manifestement irrecevable ou non motivée ou si une demande de révision invoquant les mêmes motifs a déjà été rejetée par le passé (art. 412 al. 2 CPP).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(ATF 143 IV 122 consid. 3.5) ou encore lorsque la demande de révision apparaît abusive (TF 6B _882/2017 du 23 mars 2018 consid. 1.1 ; TF 6B_1170/2015 du 10 octobre 2016 consid. 2). 1.3 En l’espèce, le requérant fait valoir que la morphine qui avait été retrouvée dans son organisme lui aurait été administrée à l’hôpital. Il conteste ainsi implicitement en avoir consommé. Force est de constater qu’il avait la possibilité de faire valoir cet élément de fait lors de la procédure d’opposition à l’ordonnance pénale, ce qu’il n’a pas fait. Partant, le moyen de fait ou de preuve dont il se prévaut n’est pas nouveau. Au surplus, on relèvera que le rapport de l’Institut de Chimie Clinique a indiqué des résultats positifs aux amphétamines et dérivés, aux benzodiazépines, au cannabis, à la cocaïne et aux opiacés (P. 7). Si de la morphine lui a été administrée à l’hôpital, entre l’accident et la prise d’urine, ce fait ne peut pas conduire à la libération du requérant du chef d’inculpation d’infractions et de contravention à la LStup, dès lors qu’il est avéré que celui-ci avait consommé d’autres stupéfiants avant l’accident, ce qu’il avait par ailleurs admis lors de son audition devant le Procureur. 2. Il résulte de ce qui précède que le motif de révision invoqué est manifestement mal fondé, de sorte que la demande de révision</w:t>
      </w:r>
    </w:p>
    <w:p>
      <w:r>
        <w:t>- 6 - présentée doit être déclarée irrecevable, sans échange d’écritures (art. 412 al. 2 CPP). Les frais de la procédure de révision, constitués en l'espèce du seul émolument d'arrêt, par 550 fr. (art. 21 al. 1 TFIP [tarif des frais de procédure et indemnités en matière pénale du 28 septembre 2010 ; BLV 312.03.1]), seront mis à la charge de X.________, qui succombe (art. 428 al. 1 CPP). Par ces motifs, la Cour d’appel pénale, en application des art. 410 ss CPP, prononce : I. La demande de révision est irrecevable. II. Les frais de la procédure de révision, par 550 fr. (cinq cent cinquante francs), sont mis à la charge de X.________. III. Le présent prononcé est exécutoire. Le président : La greffière : Du Le prononcé qui précède, dont la rédaction a été approuvée à huis clos, est notifié, par l'envoi d'une copie complète, à : - X.________, - Ministère public central, et communiqué à : - M. le Procureur de l’arrondissement de l’Est vaudois, par l'envoi de photocopies.</w:t>
      </w:r>
    </w:p>
    <w:p>
      <w:r>
        <w:t>- 7 - Le présent prononcé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