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AM18.021522 vom 11. März 2019</w:t>
      </w:r>
    </w:p>
    <w:p>
      <w:r>
        <w:t>VD Tribunal cantonal, 2019-03-11, FR</w:t>
      </w:r>
    </w:p>
    <w:p>
      <w:r>
        <w:rPr>
          <w:b/>
        </w:rPr>
        <w:t xml:space="preserve">Quelle: </w:t>
      </w:r>
      <w:r>
        <w:t>https://mcp.opencaselaw.ch/entscheid/vd_gerichte_AM18.021522</w:t>
      </w:r>
    </w:p>
    <w:p>
      <w:r>
        <w:t>FR: VD_GERICHTE AM18.021522 du 11 mars 2019</w:t>
      </w:r>
    </w:p>
    <w:p>
      <w:r>
        <w:t>IT: VD_GERICHTE AM18.021522 del 11 marzo 2019</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prévenue qui a la qualité pour recourir (art. 382 al. 1 CPP), le recours est recevable en tant qu’il concerne la mise à sa charge d’une partie des frais de la procédure (CREP 9 octobre 2018/791 consid. 1).</w:t>
      </w:r>
    </w:p>
    <w:p>
      <w:r>
        <w:rPr>
          <w:b/>
        </w:rPr>
        <w:t>E. 1.2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puisque le recours porte exclusivement sur les effets accessoires de l’ordonnance entreprise, à savoir les frais de procédure mis à la charge de la recourante, pour un montant qui n’excède pas 5'000 francs. Le recours relève donc de la compétence d'un membre de la Chambre des recours pénale en tant que juge unique (CREP 8 octobre 2018/789; CREP 21 septembre 2018/737).</w:t>
      </w:r>
    </w:p>
    <w:p>
      <w:r>
        <w:rPr>
          <w:b/>
        </w:rPr>
        <w:t>E. 2</w:t>
      </w:r>
    </w:p>
    <w:p>
      <w:r>
        <w:t>- 5 -</w:t>
      </w:r>
    </w:p>
    <w:p>
      <w:r>
        <w:rPr>
          <w:b/>
        </w:rPr>
        <w:t>E. 2.1</w:t>
      </w:r>
    </w:p>
    <w:p>
      <w:r>
        <w:t>La recourante nie tout comportement civilement illicite susceptible de justifier la mise à sa charge des frais.</w:t>
      </w:r>
    </w:p>
    <w:p>
      <w:r>
        <w:rPr>
          <w:b/>
        </w:rPr>
        <w:t>E. 2.2</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illicite et fautif au regard du droit civil, qui soit en relation de causalité avec les frais imputés, entre en ligne de compte (ATF 119 Ia 332 consid. 1b; ATF 116 Ia 162, JdT 1992 IV 52; TF 6B_1115/2016 du 25 juillet 2017 consid. 2.1).</w:t>
      </w:r>
    </w:p>
    <w:p>
      <w:r>
        <w:rPr>
          <w:b/>
        </w:rPr>
        <w:t>E. 2.3</w:t>
      </w:r>
    </w:p>
    <w:p>
      <w:r>
        <w:t>Il est établi que la recourante réside sur territoire genevois depuis le 24 avril 2018 et qu’une procédure tendant à la délivrance d’une autorisation de séjour de type L est pendante, s’agissant d’un permis de courte durée en relation avec sa qualité de victime de traite d’êtres humains. Au vu dossier, il pourrait s’agir d’une dérogation temporaire aux conditions d'admission à séjourner en Suisse selon l’art. 30 al. 1 let. e LEI (Loi fédérale sur les étrangers et l'intégration; RS 142.20), respectivement LEtr (Loi fédérale sur les étrangers) selon son intitulé jusqu’au 31 décembre 2018. Le Procureur n’indique pas en quoi consisterait le comportement civilement illicite de l’intéressée au sens de l’art. 426 al. 2</w:t>
      </w:r>
    </w:p>
    <w:p>
      <w:r>
        <w:t>- 6 - CPP, d’autant plus que l’Office cantonal de la population et des migrations du canton de Genève a confirmé qu’un préavis favorable à l’octroi d’une autorisation de séjour avait été transmis (P. 6). A suivre la motivation du Procureur, il n’y a pas de comportement civilement illicite de la prévenue. Dans ces circonstances, il ne peut être retenu que la prévenue ait, de manière illicite et fautive, provoqué l'ouverture de la procédure pénale dirigée contre elle.</w:t>
      </w:r>
    </w:p>
    <w:p>
      <w:r>
        <w:rPr>
          <w:b/>
        </w:rPr>
        <w:t>E. 3</w:t>
      </w:r>
    </w:p>
    <w:p>
      <w:r>
        <w:t>En définitive, le recours doit être admis et l’ordonnance attaquée réformée en ce sens que les frais de la procédure sont laissés à la charge de l’Etat. Elle sera confirmée pour le surplus. Les frais de la procédure de recours, par 450 fr. (art. 20 al. 1 TFIP [Tarif des frais de procédure et indemnités en matière pénale du 28 septembre 2010; BLV 312.03.1]), seront laissés à la charge de l’Etat (art. 423 CPP). La recourante réclame une indemnité de 900 fr. pour les dépenses occasionnées par l'exercice raisonnable de ses droits de procédure au titre de l’art. 429 al. 1 let. a CPP. Le défenseur de choix explique avoir passé une heure en entretien avec sa cliente et avoir consacré une heure également à la rédaction de l’acte de recours, qui comporte une page et demie. Le mémoire comprend comme seule référence juridique l’art. 426 al. 2 CPP, cité par le Procureur. On ne discerne aucune difficulté rédactionnelle qui justifierait une durée d’une heure. Si l’on peut admettre une brève conférence, de 30 à 45 minutes, pour expliquer à la cliente les principes en matière de frais et la portée de l’ordonnance à cet égard, il n’en reste pas moins que la rédaction du recours produit ne peut guère prendre plus de quinze minutes à un avocat formé. En arrondissant la durée totale du traitement du dossier à une heure en faveur de la recourante, l’indemnité doit être arrêtée à 300 fr., débours et TVA, par 23 fr. 10, compris. On rappellera que l’art. 26a al. 3 TFIP fixe une fourchette de 250 fr. à 350 fr., ce dernier montant étant adéquat pour des affaires particulièrement compliquées.</w:t>
      </w:r>
    </w:p>
    <w:p>
      <w:r>
        <w:t>- 7 - Par ces motifs, le juge unique prononce : I. Le recours est admis. II. L’ordonnance du 3 décembre 2018 est réformée à son chiffre III comme il suit : III. Laisse les frais de procédure à la charge de l’Etat. L’ordonnance est confirmée pour le surplus. III. Les frais de la procédure de recours, par 540 fr. (cinq cent quarante francs), sont laissés à la charge de l’Etat. IV. Une indemnité de 323 fr. 10 (trois cent vingt-trois francs et dix centimes) est allouée à A.________ pour la procédure de recours, à la charge de l’Etat. V. L’arrêt est exécutoire. Le juge unique : Le greffier : Du Le présent arrêt, dont la rédaction a été approuvée à huis clos, est notifié, par l'envoi d'une copie complète, à : - Me Laïla Batou, avocate (pour A.________), - Ministère public central,</w:t>
      </w:r>
    </w:p>
    <w:p>
      <w:r>
        <w:t>- 8 - et communiqué à : - M. le Procureur de l'arrondissement de La Côte, - Administration fédérale des douanes, Lausanne, - Service de la population, Secteur étrangers, - Secrétariat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