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AM18.016264 vom 30. Juli 2020</w:t>
      </w:r>
    </w:p>
    <w:p>
      <w:r>
        <w:t>VD Tribunal cantonal, 2020-07-30, FR</w:t>
      </w:r>
    </w:p>
    <w:p>
      <w:r>
        <w:rPr>
          <w:b/>
        </w:rPr>
        <w:t xml:space="preserve">Quelle: </w:t>
      </w:r>
      <w:r>
        <w:t>https://mcp.opencaselaw.ch/entscheid/vd_gerichte_AM18.016264</w:t>
      </w:r>
    </w:p>
    <w:p>
      <w:r>
        <w:t>FR: VD_GERICHTE AM18.016264 du 30 juillet 2020</w:t>
      </w:r>
    </w:p>
    <w:p>
      <w:r>
        <w:t>IT: VD_GERICHTE AM18.016264 del 30 luglio 2020</w:t>
      </w:r>
    </w:p>
    <w:p>
      <w:pPr>
        <w:pStyle w:val="Heading2"/>
      </w:pPr>
      <w:r>
        <w:t>Erwägungen</w:t>
      </w:r>
    </w:p>
    <w:p>
      <w:r>
        <w:rPr>
          <w:b/>
        </w:rPr>
        <w:t>E. 4</w:t>
      </w:r>
    </w:p>
    <w:p>
      <w:r>
        <w:t>L’appelant, qui se prévaut d’un état de nécessité licite et conclut à son acquittement, ne conteste pas la quotité de la peine en tant que telle. Examinée d’office, la Cour de céans considère que la peine prononcée par le premier juge a été fixée en application des critères légaux et conformément à la culpabilité et à la situation personnelle de H.________. Il peut dès lors être renvoyé à cet égard à la motivation du jugement attaqué (pp. 6-7 ; art. 82 al. 4 CPP), qui est claire et convaincante. La peine pécuniaire de 20 jours-amende à 40 fr. le jour avec sursis pendant deux ans et l’amende de 400 fr., convertible en une peine privative de liberté de substitution de quatre jours en cas d’absence fautive de paiement, est donc adéquate et doit être confirmée.</w:t>
      </w:r>
    </w:p>
    <w:p>
      <w:r>
        <w:rPr>
          <w:b/>
        </w:rPr>
        <w:t>E. 5</w:t>
      </w:r>
    </w:p>
    <w:p>
      <w:r>
        <w:t>L’appelant conclut à ce que les frais de première instance soient laissés à la charge de l’Etat. Dans la mesure où elle repose sur la prémisse de son acquittement, cette conclusion doit être rejetée.</w:t>
      </w:r>
    </w:p>
    <w:p>
      <w:r>
        <w:rPr>
          <w:b/>
        </w:rPr>
        <w:t>E. 6</w:t>
      </w:r>
    </w:p>
    <w:p>
      <w:r>
        <w:t>En définitive, l’appel de H.________ doit être rejeté et le jugement entrepris intégralement confirmé. Vu l’issue de la cause, les frais de la procédure d’appel, constitués du seul émolument de jugement, par 1’280 fr. (art. 21 al. 1 et 2 TFIP [Tarif des frais de procédure et indemnités en matière pénale du 28 septembre 2010 ; BLV 312.03.1]), seront mis à la charge de l’appelant, qui succombe (art. 428 al. 1 CPP).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