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AM18.009330 vom 31. Januar 2019</w:t>
      </w:r>
    </w:p>
    <w:p>
      <w:r>
        <w:t>VD Tribunal cantonal, 2019-01-31, FR</w:t>
      </w:r>
    </w:p>
    <w:p>
      <w:r>
        <w:rPr>
          <w:b/>
        </w:rPr>
        <w:t xml:space="preserve">Quelle: </w:t>
      </w:r>
      <w:r>
        <w:t>https://mcp.opencaselaw.ch/entscheid/vd_gerichte_AM18.009330</w:t>
      </w:r>
    </w:p>
    <w:p>
      <w:r>
        <w:t>FR: VD_GERICHTE AM18.009330 du 31 janvier 2019</w:t>
      </w:r>
    </w:p>
    <w:p>
      <w:r>
        <w:t>IT: VD_GERICHTE AM18.009330 del 31 gennaio 2019</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Code de procédure pénale suisse, Commentaire romand, Bâle 2011, n. 5 ad art. 356 CPP; Riklin, in : Niggli/Heer/Wiprächtiger [éd.], Basler Kommentar, Schweizerische Strafprozessordnung, Jugendstrafprozessordnung, Art. 196-457 StPO – Art. 1-54 JStPO, 2e éd., Bâle 2014, n. 2 ad art. 356 CPP; CREP 26 septembre 2018/750 et les réf. citées). En l'espèce, interjeté en temps utile (art. 396 al. 1 CPP) devant l’autorité compétente (art. 13 LVCPP [loi d’introduction du Code de procédure pénale suisse du 19 mai 2009; BLV 312.01]; art. 80 LOJV [loi</w:t>
      </w:r>
    </w:p>
    <w:p>
      <w:r>
        <w:t>- 4 - d'organisation judiciaire du 12 septembre 1979; BLV 173.01]), par la prévenue qui a qualité pour recourir (art. 382 al. 1 CPP) et dans les formes prescrites (art. 385 al. 1 CPP), le recours est recevable.</w:t>
      </w:r>
    </w:p>
    <w:p>
      <w:r>
        <w:rPr>
          <w:b/>
        </w:rPr>
        <w:t>E. 1.2</w:t>
      </w:r>
    </w:p>
    <w:p>
      <w:r>
        <w:t>Les pièces nouvelles annexées au recours sont recevables (art. 390 al. 4 in fine CPP).</w:t>
      </w:r>
    </w:p>
    <w:p>
      <w:r>
        <w:rPr>
          <w:b/>
        </w:rPr>
        <w:t>E. 2.1</w:t>
      </w:r>
    </w:p>
    <w:p>
      <w:r>
        <w:t>Le prévenu peut former opposition contre l’ordonnance pénale devant le ministère public par écrit et dans les dix jours (art. 354 al. 1 let. a CPP). Le délai de dix jours pour former opposition – qui ne peut être prolongé (art. 89 al. 1 CPP) – commence à courir le jour qui suit la notification de l’ordonnance entreprise (art. 90 al. 1 CPP).</w:t>
      </w:r>
    </w:p>
    <w:p>
      <w:r>
        <w:rPr>
          <w:b/>
        </w:rPr>
        <w:t>E. 2.2</w:t>
      </w:r>
    </w:p>
    <w:p>
      <w:r>
        <w:t>Le prononcé est réputé notifié lorsqu'il a été remis au destinataire, à l'un de ses employés ou à toute personne de plus de seize ans vivant dans le même ménage (art. 85 al. 3 CPP). Selon certains auteurs, la notion de « personne vivant dans le même ménage » est proche de celle de « familier » de l'art. 110 CP (Code pénal suisse du 21 décembre 1937; RS 311.0), lequel énonce que les familiers d’une personne sont ceux qui font ménage commun avec elle (cf. Macaluso/Toffel, Commentaire romand, Code de procédure pénale suisse, Bâle 2011, n. 25 ad art. 85 CPP). Cependant, l’art. 85 CPP n’est pas sans rappeler l’art. 64 al. 1 LP (loi fédérale du 11 avril 1889 sur la poursuite pour dettes et la faillite; RS 281.1), qui prévoit que, si le débiteur est absent de sa demeure, l’acte de poursuite peut être remis à une personne adulte de son ménage. Comme ces deux dispositions légales poursuivent toutes deux un même but – celui de faire avancer équitablement une procédure –, il semble plus conforme à la volonté du législateur de rapprocher la notion de « personne vivant dans le même ménage » au sens de l’art. 85 CPP de celle de l’art. 64 al. 1 LP, laquelle n’est pas nécessairement aussi restrictive que la notion de familier au sens de l’art. 110 CP.</w:t>
      </w:r>
    </w:p>
    <w:p>
      <w:r>
        <w:t>- 5 - Dans le cadre de l’art. 64 al. 1 LP, lorsque le destinataire d’un acte de poursuite réside dans une institution, la notification en mains d'une personne majeure qui collabore à l'exploitation de cette institution doit être considérée comme valable, à tout le moins lorsque les pensionnaires ne sont pas de simples locataires, mais bénéficient de prestations autres que le logement et de nature à créer une certaine communauté domestique (ATF 117 III 5 consid. 1). Il y a lieu d’appliquer la même règle à la notification d’un prononcé en vertu de l’art. 85 CPP.</w:t>
      </w:r>
    </w:p>
    <w:p>
      <w:r>
        <w:rPr>
          <w:b/>
        </w:rPr>
        <w:t>E. 2.3</w:t>
      </w:r>
    </w:p>
    <w:p>
      <w:r>
        <w:t>En l’espèce, lorsque le pli recommandé contenant l’ordonnance pénale a été remis au personnel de la réception du Centre d’accueil de Malley-Prairie, la recourante était prise en charge par cette institution depuis près de trois mois en tout cas. Elle occupait un logement mis à sa disposition par cette institution, qui n’était, pour des raisons de sécurité, pas équipé d’une boîte aux lettres propre, ni d’une sonnette indiquant le nom de la recourante. Conformément à son but protecteur, l’institution faisait rempart entre la recourante et le monde extérieur. Dans ces conditions, il y a lieu de retenir que la recourante formait une certaine communauté domestique avec le personnel de l’institution. Dès lors, l’ordonnance pénale a été valablement notifiée à la recourante par sa remise au personnel du Centre d’accueil de Malley-Prairie le 24 juillet 2018.</w:t>
      </w:r>
    </w:p>
    <w:p>
      <w:r>
        <w:rPr>
          <w:b/>
        </w:rPr>
        <w:t>E. 3.1</w:t>
      </w:r>
    </w:p>
    <w:p>
      <w:r>
        <w:t>Le délai de dix jours pour former opposition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w:t>
      </w:r>
    </w:p>
    <w:p>
      <w:r>
        <w:rPr>
          <w:b/>
        </w:rPr>
        <w:t>E. 3.2</w:t>
      </w:r>
    </w:p>
    <w:p>
      <w:r>
        <w:t>En l’espèce, notifiée le 24 juillet 2018, l’ordonnance pénale pouvait être frappée d’opposition jusqu’au vendredi 3 août 2018. Déposée le 8 août 2018 seulement, l’opposition de la recourante est tardive. C’est</w:t>
      </w:r>
    </w:p>
    <w:p>
      <w:r>
        <w:t>- 6 - dès lors à bon droit que le Tribunal de police de l’arrondissement de Lausanne l’a déclarée irrecevable. Les conclusions de la recourante en annulation du prononcé du 17 août 2018 et en renvoi de la cause à ce tribunal pour qu’il entre en matière doivent être rejetées.</w:t>
      </w:r>
    </w:p>
    <w:p>
      <w:r>
        <w:rPr>
          <w:b/>
        </w:rPr>
        <w:t>E. 4.1</w:t>
      </w:r>
    </w:p>
    <w:p>
      <w:r>
        <w:t>Selon l’art. 94 al. 1 CPP, une partie peut demander la restitution d’un délai si elle a été empêchée de l’observer et qu’elle est de ce fait exposée à un préjudice important et irréparable. Selon l’art. 94 al. 2 CPP, la demande de restitution, dûment motivée, doit être adressée par écrit dans les trente jours à compter de celui où l’empêchement a cessé, à l’autorité auprès de laquelle l’acte de procédure aurait dû être accompli; l’acte de procédure omis doit être répété durant ce délai. Enfin, un acte de procédure adressé à une autorité incompétente est réputé accompli en temps utile s’il parvient le dernier jour du délai à une autorité incompétente suisse, qui a alors l’obligation de le transmettre sans retard (art. 91 al. 4 CPP).</w:t>
      </w:r>
    </w:p>
    <w:p>
      <w:r>
        <w:rPr>
          <w:b/>
        </w:rPr>
        <w:t>E. 4.2</w:t>
      </w:r>
    </w:p>
    <w:p>
      <w:r>
        <w:t>En l’espèce, la requête de restitution de délai formulée, en plus des conclusions en annulation du prononcé du 17 août 2018, dans les motifs de l’acte du 3 septembre 2018 intitulé « recours » relève de la compétence du ministère public. Il convient dès lors de transmettre le dossier au Ministère public de l’arrondissement de Lausanne pour décision sur cette requête.</w:t>
      </w:r>
    </w:p>
    <w:p>
      <w:r>
        <w:rPr>
          <w:b/>
        </w:rPr>
        <w:t>E. 5</w:t>
      </w:r>
    </w:p>
    <w:p>
      <w:r>
        <w:t>En définitive, le recours doit être rejeté et le prononcé attaqué confirmé. Le dossier sera toutefois transmis au Ministère public de l’arrondissement de Lausanne pour décision sur la requête de restitution de délai formée par la prévenue dans son acte du 3 septembre 2018. Les frais de la procédure de recours, constitués en l’espèce de l’émolument du présent arrêt (art. 422 al. 1 CPP), par 770 fr. (art. 20 al. 1 TFIP [Tarif des frais de procédure et indemnités en matière pénale du 28 septembre 2010; BLV 312.03.1]), seront mis à la charge de la recourante, qui succombe (art. 428 al. 1 CPP).</w:t>
      </w:r>
    </w:p>
    <w:p>
      <w:r>
        <w:t>- 7 - Par ces motifs, la Chambre des recours pénale prononce : I. Le recours formé par R.________ dans son acte du 3 septembre 2018 est rejeté. II. Le prononcé rendu le 17 août 2018 par le Tribunal de police de l’arrondissement de Lausanne est confirmé. III. Le dossier est transmis au Ministère public de l’arrondissement de Lausanne pour décision sur la requête de restitution de délai formée par R.________ dans son acte du 3 septembre 2018. IV. Les frais d’arrêt, par 770 fr. (sept cent septante francs), sont mis à la charge de R.________. V. L’arrêt est exécutoire. Le président : Le greffier : Du Le présent arrêt, dont la rédaction a été approuvée à huis clos, est notifié, par l'envoi d'une copie complète, à : - Mme R.________, - Ministère public central, et communiqué à : - M. le Président du Tribunal de police de l’arrondissement de Lausanne, - M. le Procureur de l’arrondissement de Lausanne, - Service de la population,</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