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AM17.021634 vom 22. Februar 2019</w:t>
      </w:r>
    </w:p>
    <w:p>
      <w:r>
        <w:t>VD Tribunal cantonal, 2019-02-22, FR</w:t>
      </w:r>
    </w:p>
    <w:p>
      <w:r>
        <w:rPr>
          <w:b/>
        </w:rPr>
        <w:t xml:space="preserve">Quelle: </w:t>
      </w:r>
      <w:r>
        <w:t>https://mcp.opencaselaw.ch/entscheid/vd_gerichte_AM17.021634</w:t>
      </w:r>
    </w:p>
    <w:p>
      <w:r>
        <w:t>FR: VD_GERICHTE AM17.021634 du 22 février 2019</w:t>
      </w:r>
    </w:p>
    <w:p>
      <w:r>
        <w:t>IT: VD_GERICHTE AM17.021634 del 22 febbraio 2019</w:t>
      </w:r>
    </w:p>
    <w:p>
      <w:pPr>
        <w:pStyle w:val="Heading2"/>
      </w:pPr>
      <w:r>
        <w:t>Erwägungen</w:t>
      </w:r>
    </w:p>
    <w:p>
      <w:r>
        <w:rPr>
          <w:b/>
        </w:rPr>
        <w:t>E. 1</w:t>
      </w:r>
    </w:p>
    <w:p>
      <w:r>
        <w:t>E.________ est né le [...] en [...]. Il a deux grandes sœurs, dont une vit avec sa mère à [...]. Son père est décédé. Il a effectué l’intégralité de ses études dans son pays d’origine avant de venir travailler en Suisse</w:t>
      </w:r>
    </w:p>
    <w:p>
      <w:r>
        <w:t>- 7 - dès le mois de juillet 2011. Il réside dans ce pays depuis le mois de décembre 2014. Le prévenu n’a pas d’enfant et vit seul à [...]. Sa fiancée suit un traitement à [...]. Il va voir cette dernière régulièrement. E.________ travaille en qualité d’ingénieur auprès de la société [...]. Il perçoit un salaire mensuel net d’environ 7'500 francs. Son loyer s’élève à 1'700 fr. et sa prime d’assurance-maladie à 300 fr. environ. N’ayant personne à charge, il aide cependant sa famille qui vit à [...] en lui versant entre 1'000 fr. 1'500 fr. par mois. Il paie également un leasing à hauteur de 1'200 fr. par mois et rembourse un crédit de 500 fr. par mois. Il doit encore rembourser les frais judiciaires de son ancienne affaire, à concurrence de 50 fr. par mois. Il n’a pas de poursuite ni de fortune. Le casier judiciaire suisse de E.________ fait mention de l’inscription suivante : - 7 septembre 2016, Ministère public de l’arrondissement de La Côte, violations simple et grave des règles de la circulation routière, peine pécuniaire de 30 jours-amende à 60 fr. le jour-amende, sursis à l’exécution de la peine, délai d’épreuve de deux ans, à amende de 540 francs. Le casier judiciaire français fait état des condamnations suivantes : - 17 septembre 2010, Chambre des appels correctionnels de la Cour d’appel de [...], refus par le conducteur d’un véhicule d’obtempérer à une sommation de s’arrêter dans des circonstances exposant directement autrui à un risque de mort ou d’infirmité, emprisonnement d’un mois, sursis à l’exécution de la peine, amende de 300 euros, suspension du permis de conduire pendant six mois ; - 7 novembre 2012, Tribunal correctionnel de [...], conduite d’un véhicule moteur malgré injonction de restituer le permis de conduire résultant du retrait de la totalité des points, amende de 300 euros ; - 8 avril 2013, Tribunal correctionnel de [...], acquisition, offre ou cession et détention non autorisées de stupéfiants et usage de stupéfiants, emprisonnement d’un an, sursis à l’exécution de la peine, confiscation.</w:t>
      </w:r>
    </w:p>
    <w:p>
      <w:r>
        <w:t>- 8 - En date du 10 janvier 2019, le fichier ADMAS de E.________ ne comportait pas d’inscription.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w:t>
      </w:r>
    </w:p>
    <w:p>
      <w:r>
        <w:t>- 9 -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reproche au tribunal d’avoir préféré la version des faits des gendarmes, à savoir celle de W.________, à la sienne. Il fonde son grief sur un rapport d’expertise technique de circulation établi le 15 avril 2019 à sa demande par le [...], à [...]. Il fait valoir que, selon les conclusions de ce rapport et des simulations figurant sur le CD-Rom annexé, effectuées en tenant compte de la vitesse de chacun des protagonistes et envisageant différentes variantes, il serait impossible que son véhicule ait pu, à un quelconque moment, entreprendre le dépassement par la droite de la voiture de W.________. Ainsi, l’appelant considère qu’il serait illusoire de penser que les faits se soient déroulés tels qu’ils ont été retenus par le premier juge. Il ajoute que d’autres éléments au dossier viendraient corroborer sa version, comme notamment le fait que le prénommé n’a fourni aucune photographie des prétendus dégâts sur sa voiture ou que les dégâts présents sur le véhicule de ce</w:t>
      </w:r>
    </w:p>
    <w:p>
      <w:r>
        <w:t>- 10 - dernier ne correspondraient en rien aux prétendues traces figurant sur le sien.</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w:t>
      </w:r>
    </w:p>
    <w:p>
      <w:r>
        <w:t>- 11 -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3.2.1</w:t>
      </w:r>
    </w:p>
    <w:p>
      <w:r>
        <w:t>L’appelant expose que, lors des faits, il s’est retrouvé, au volant de son véhicule, derrière un camion et qu’il a entrepris de dépasser celui-ci après s’être assuré que la voie de gauche était libre. Ensuite, alors qu’il était en train de dépasser ce poids-lourd, un véhicule l’aurait rattrapé, puis talonné tout en lui faisant un appel de phares avec son clignotant gauche allumé. L’appelant ajoute qu’une fois le dépassement achevé, il s’est rabattu sur la voie de droite et le conducteur qui le suivait en a fait de même, ce dernier laissant son clignotant droit enclenché et continuant à faire des appels de phares au prévenu. E.________ aurait déduit du comportement de l’automobiliste qui le poursuivait qu’il souhaitait qu’il s’arrête sur l’aire de repos de [...], ce qu’il a fait. Le prévenu admet qu’ensuite, après être arrivé sur place, et à la suite d’une discussion avec W.________, il est parti sans laisser son adresse et qu’il savait que le prénommé avait contacté la police. Lors de l’audience d’appel, le prévenu a persisté à contester avoir heurté le véhicule de W.________ et a indiqué ignorer, toujours à l’heure actuelle, pourquoi le prénommé lui a demandé de s’arrêter.</w:t>
      </w:r>
    </w:p>
    <w:p>
      <w:r>
        <w:rPr>
          <w:b/>
        </w:rPr>
        <w:t>E. 3.2.2</w:t>
      </w:r>
    </w:p>
    <w:p>
      <w:r>
        <w:t>Dans leur rapport d’expertise technique, établi au demeurant postérieurement au jugement de première instance et à la demande de l’appelant, les experts ont notamment relevé que la position des véhicules en cause et leur vitesse probable au moment du dépassement leurs avaient été communiquées par l’appelant, que, dans le cas d’espèce, avant le dépassement, la voie de droite était occupée par deux véhicules, à savoir une automobile et un poids-lourd, séparés par une distance de 40 mètres et dont la vitesse devait se situer entre 80 km/h et 90 km/h et que ces derniers paramètres avaient utilisés lors des simulations. En définitive, les experts sont parvenus à la conclusion qu’il était impossible pour le</w:t>
      </w:r>
    </w:p>
    <w:p>
      <w:r>
        <w:t>- 12 - véhicule de l’appelant, avec les paramètres pris en compte, d’effectuer le dépassement du véhicule de W.________ en s’insérant au préalable entre le véhicule précédent le camion de 40 mètres et ce dernier. En outre, selon eux, même en positionnant la voiture du prénommé bien à gauche de la voie et le poids-lourd bien à droite de la sienne et en rapprochant au maximum la voiture du prévenu de celle de W.________ au début du dépassement, la distance restait insuffisante pour effectuer le déplacement si ce dernier ne ralentissait pas pour permettre à E.________ de se rabattre. En l’occurrence, le rapport d’expertise ne permet pas d’écarter la version des faits retenue par le tribunal. En effet, pour procéder à leurs simulations et parvenir à leurs conclusions, les experts ont pris en compte une distance séparant le poids-lourd de la voiture qui le précédait, qui circulaient sur la voie de droite avant le dépassement reproché à l’appelant, de 40 mètres. Or, les faits figurant dans l’ordonnance pénale du 14 juin 2018, valant acte d’accusation, de même que ceux retenus par le premier juge ne font pas mention d’une telle distance. Ils indiquent uniquement « un court espace sur la voie de droite », sans davantage de précision. Par ailleurs, à la lecture des différentes auditions, on relève que les parties ont éprouvé des difficultés à estimer la distance qui séparait les véhicules précités (cf. not. P. 4 ; PV aud. 2). Ainsi, force est d’admettre que cette distance de 40 mètres, utilisée par les experts pour parvenir à la conclusion qu’une manœuvre de dépassement de la part de E.________ était impossible, n’est pas établie. Dans ces conditions, le rapport d’expertise technique produit par le prénommé ne saurait être pris en compte pour innocenter celui-ci.</w:t>
      </w:r>
    </w:p>
    <w:p>
      <w:r>
        <w:rPr>
          <w:b/>
        </w:rPr>
        <w:t>E. 3.2.3</w:t>
      </w:r>
    </w:p>
    <w:p>
      <w:r>
        <w:t>Au surplus, à l’instar des premiers juges, il y a lieu de considérer que la version des faits de W.________ est plus crédible que celle livrée par l’appelant. Tout d’abord, le prénommé n’avait aucun intérêt à faire de fausses déclarations en justice et à dénoncer un cas pour lequel, si l’on suit la version de l’appelant, il se serait lui-même rendu coupable. Ensuite,</w:t>
      </w:r>
    </w:p>
    <w:p>
      <w:r>
        <w:t>- 13 - les agents de police, dont il n’y a, quoi qu’en dise l’appelant, pas lieu de remettre en doute la parole, ont constaté des dommages à une hauteur identique sur chacun des deux véhicules en cause et ceux-ci correspondent dans cette mesure aux déclarations de W.________. Quant à E.________, s’il n’avait réellement rien eu à se reprocher, on peine à comprendre pourquoi il se serait arrêté sur l’aire d’autoroute de [...], sur de simples indications sommaires de W.________. Enfin, l’appelant, qui a plusieurs antécédents pour avoir enfreint la circulation routière, dont un en Suisse, a un intérêt à mentir, dès lors qu’il s’expose à une mesure administrative, telle qu’un retrait de son permis de conduire.</w:t>
      </w:r>
    </w:p>
    <w:p>
      <w:r>
        <w:rPr>
          <w:b/>
        </w:rPr>
        <w:t>E. 3.2.4</w:t>
      </w:r>
    </w:p>
    <w:p>
      <w:r>
        <w:t>En définitive, c’est à juste titre que le tribunal a retenu la version des faits de W.________ et reconnu E.________ coupable de violation simple des règles de la circulation pour avoir talonné de très près le véhicule de W.________ et lui avoir fait des appels de phares, de violation grave des règles de la circulation pour avoir contourné le véhicule du prénommé en le dépassant par la droite et s’être rabattu à une très faible distance devant lui, provoquant une touchette entre les deux véhicules, et de violation des obligations en cas d’accident pour avoir quitté l’aire de [...], alors qu’il savait qu’il avait provoqué des dégâts matériels sur le véhicule de W.________ et que celui-ci allait faire appel à la police.</w:t>
      </w:r>
    </w:p>
    <w:p>
      <w:r>
        <w:rPr>
          <w:b/>
        </w:rPr>
        <w:t>E. 4</w:t>
      </w:r>
    </w:p>
    <w:p>
      <w:r>
        <w:t>Vérifiée d’office, la peine pécuniaire ferme de 60 jours-amende à 50 fr. le jour prononcée par le premier juge est adéquate et doit être confirmée. L’autorité de céans fait entièrement sienne la motivation complète et convaincante du tribunal de première instance à cet égard (cf. jgt, pp. 19-20) et y renvoie, conformément à l’art. 82 al. 4 CPP. Il en va de même de l’amende de 800 fr., convertible en 8 jours de peine privative de liberté de substitution en cas d’absence fautive de paiement, prononcée afin de sanctionner la contravention de violation simple des règles de la circulation.</w:t>
      </w:r>
    </w:p>
    <w:p>
      <w:r>
        <w:rPr>
          <w:b/>
        </w:rPr>
        <w:t>E. 5</w:t>
      </w:r>
    </w:p>
    <w:p>
      <w:r>
        <w:t>En définitive, l’appel doit être rejeté et le jugement attaqué intégralement confirmé.</w:t>
      </w:r>
    </w:p>
    <w:p>
      <w:r>
        <w:t>- 14 - Vu l’issue de la cause, les frais de la procédure d’appel, constitués en l’espèce du seul émolument du jugement, par 1’390 fr. (art. 21 al. 1 et 2 TFIP [Tarif des frais de procédure et indemnités en matière pénale du 28 septembre 2010 ; BLV 312.03.1]), sont mis à la charge de E.________,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