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AM17.019030 vom 16. Februar 2018</w:t>
      </w:r>
    </w:p>
    <w:p>
      <w:r>
        <w:t>VD Tribunal cantonal, 2018-02-16, FR</w:t>
      </w:r>
    </w:p>
    <w:p>
      <w:r>
        <w:rPr>
          <w:b/>
        </w:rPr>
        <w:t xml:space="preserve">Quelle: </w:t>
      </w:r>
      <w:r>
        <w:t>https://mcp.opencaselaw.ch/entscheid/vd_gerichte_AM17.019030</w:t>
      </w:r>
    </w:p>
    <w:p>
      <w:r>
        <w:t>FR: VD_GERICHTE AM17.019030 du 16 février 2018</w:t>
      </w:r>
    </w:p>
    <w:p>
      <w:r>
        <w:t>IT: VD_GERICHTE AM17.019030 del 16 febbraio 2018</w:t>
      </w:r>
    </w:p>
    <w:p>
      <w:pPr>
        <w:pStyle w:val="Heading2"/>
      </w:pPr>
      <w:r>
        <w:t>Erwägungen</w:t>
      </w:r>
    </w:p>
    <w:p>
      <w:r>
        <w:rPr>
          <w:b/>
        </w:rPr>
        <w:t>E. 5</w:t>
      </w:r>
    </w:p>
    <w:p>
      <w:r>
        <w:t>octobre 2007; RS 312.0], le Ministère public ne s’est pas prononcé. En d roit : 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2e éd., Bâle 2014, n. 2 ad art. 356 CPP; CREP</w:t>
      </w:r>
    </w:p>
    <w:p>
      <w:r>
        <w:rPr>
          <w:b/>
        </w:rPr>
        <w:t>E. 9</w:t>
      </w:r>
    </w:p>
    <w:p>
      <w:r>
        <w:t>septembre 2016/605; CREP 30 décembre 2014/925). Ce recours s’exerce auprès de l’autorité de recours (cf. art. 20 al. 1 let. b CPP) qui est, dans le canton de Vaud, la Chambre des recours pénale du Tribunal cantonal (art.</w:t>
      </w:r>
    </w:p>
    <w:p>
      <w:r>
        <w:rPr>
          <w:b/>
        </w:rPr>
        <w:t>E. 13</w:t>
      </w:r>
    </w:p>
    <w:p>
      <w:r>
        <w:t>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r>
        <w:t>- 4 - En l’espèce, interjeté en temps utile devant l’autorité compétente par le prévenu qui a qualité pour recourir (art. 382 al. 1 CPP) et dans les formes prescrites (art. 385 al. 1 CPP), le recours est recevable. 2. 2.1 A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6B_1032/2015 du 25 mai 2016 consid. 1; TF 6B_1088/2013 du 12 mai 2014 consid. 1.2; TF 6B_314/2012 du 18 février 2013 consid. 1.2; 6B_158/2012 du 27 juillet 2012 consid. 3.2; TF 6B_422/2011 du 7 octobre 2011 consid. 1.1;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w:t>
      </w:r>
    </w:p>
    <w:p>
      <w:r>
        <w:t>- 5 - la notification d'un acte officiel naît avec l'ouverture d'un procès et vaut pendant toute la durée de la procédure (ATF 130 III 396 consid. 1.2.3; TF 6B_314/2012 du 18 février 2013 consid. 1.3.1). Selon la jurisprudence, le fardeau de la preuve de la notification et de la date de celle-ci incombe en principe à l'autorité qui entend en tirer une conséquence juridique (ATF 129 I 8 consid. 2.2 et les références citées). 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ATF 130 III 396 consid. 1.2.3 ; ATF 123 III 492 consid. 1; ATF 119 V 89 consid. 4b/aa). Cette approche est désormais reprise à l’art. 85 al. 4 CPP. 2.3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 La fiction prévue par l'art. 88 al. 4 CPP est problématique. Selon le mécanisme de l'art. 88 CPP, elle n'est possible que si les conditions exigées par l'art. 88 al. 1 let. a, b ou c sont réalisées (cf. Message du 21 décembre 2005 relatif à l'unification du droit de la procédure pénale, FF 2006 p. 1136, ch. 2.2.8.6; Riedo, in : Basler Kommentar, Schweizerische Strafprozessordnung, op. cit., n. 11 ad art. 88 CPP; Brüschweiler, in: Kommentar zur Schweizerischen Strafprozessordnung, Donatsch/Hansjakob/Lieber [éd.], 2e éd. 2014, n. 8</w:t>
      </w:r>
    </w:p>
    <w:p>
      <w:r>
        <w:t>- 6 -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(cf. TF 6B_421/2016 du 12 janvier 2017 consid. 1.1; TF 6B_1117/2015 du 6 septembre 2015 consid. 1.1; TF 6B_738/2011 du 20 mars 2012 consid. 3.3; Denys, Ordonnance pénale: Questions choisies et jurisprudence récente, SJ 2016 II p. 130 s.). 2.4 En l’occurrence, l’ordonnance pénale litigieuse a été rendue après le dépôt par le recourant d’une demande d’autorisation de séjour (annexe à P. 4) et, hormis l’obtention d’un extrait du casier judiciaire (cf. PV des opérations, p. 2), aucune opération d’enquête n’a été effectuée. Faute d’avoir été informé de l’ouverture de la procédure le concernant, le recourant ne pouvait dès lors raisonnablement pas s’attendre à l’envoi d’une ordonnance pénale. L’intéressé n’a pas davantage bénéficié de la possibilité de désigner un représentant en Suisse, l’autorité pénale ne l’ayant aucunement informé de ses droits et obligations à cet égard. Enfin, l’ordonnance pénale n’a pas été envoyée à l’avocat du recourant, dont les coordonnées figuraient au bas de la dénonciation de la Commune de Montreux (P. 4). Avec le recourant, il faut constater que l’ordonnance pénale n’a pas été notifiée valablement. En effet, ni l’art. 85 al. 4 let. a CPP, ni l’art. 88 al. 4 CPP ne sont applicables, le recourant n’ayant pas eu connaissance de l’ouverture de la procédure pénale et le Ministère public n’ayant de son côté pas entrepris la moindre démarche pour localiser valablement l’intéressé, rien ne permettant de partir de l’idée que celui-ci se trouvait à ce moment-là dans sa résidence secondaire de Montreux. Il en découle que l’opposition litigieuse est recevable.</w:t>
      </w:r>
    </w:p>
    <w:p>
      <w:r>
        <w:t>- 7 - 2.3 Au vu de ce qui précède, c’est à tort que le tribunal de police, jugeant l’opposition tardive, a constaté son irrecevabilité. Il s’agira, dans ces conditions, de reprendre la procédure en cas d’opposition, conformément aux art. 355 ss CPP (cf. JdT 2017 III 131 consid. 2.2; CREP 24 janvier 2017/63 consid. 2.2). 3. Cela étant, le recours doit être admis. Le prononcé du 21 novembre 2017 sera réformé en ce sens que l’opposition formée par Y.________ contre l’ordonnance pénale rendue le 6 octobre 2017 par le Ministère public de l'arrondissement de l’Est vaudois est recevable. Le dossier de la cause sera renvoyé au Ministère public de l'arrondissement de l’Est vaudois pour qu’il procède conformément à l’art. 355 CPP. Les frais de la procédure de recours, constitués en l’espèce de l’émolument du présent arrêt, par 770 fr. (art. 20 al. 1 TFIP [tarif des frais de procédure et indemnités en matière pénale; RSV 312.03.1]), seront laissés à la charge de l'Etat (art. 423 al. 1 CPP). Le recourant, qui a obtenu gain de cause et procédé avec l’assistance d’un avocat, a droit à une indemnité pour les dépenses occasionnées par l’exercice raisonnable de ses droits de procédure pour la procédure de recours (art. 429 al. 1 let. a et 436 al. 1 CPP). Cette indemnité sera fixée à 900 fr., plus la TVA, par 69 fr. 30 fr., soit un total de 969 fr. 30 (art. 26a TFIP), à la charge de l’Etat. Par ces motifs, la Chambre des recours pénale prononce : I. Le recours est admis.</w:t>
      </w:r>
    </w:p>
    <w:p>
      <w:r>
        <w:t>- 8 - II. Le prononcé du 21 novembre 2017 est réformé en ce sens que l’opposition formée par Y.________ contre l’ordonnance pénale rendue le 6 octobre 2017 par le Ministère public de l’arrondissement de l’Est vaudois est recevable. III. Le dossier de la cause est renvoyé au Ministère public de l’arrondissement de l’Est vaudois pour qu’il procède dans le sens des considérants. IV. Les frais de la procédure de recours, par 770 fr. (sept cent septante francs) sont laissés à la charge de l’Etat. V. Une indemnité de 969 fr. 30 est allouée à Y.________ pour la procédure de recours, à la charge de l’Etat. VI. L’arrêt est exécutoire. Le président : Le greffier : Du Le présent arrêt, dont la rédaction a été approuvée à huis clos, est notifié, par l'envoi d'une copie complète, à : - Me Nabil Charaf, avocat (pour Y.________), - Ministère public central, et communiqué à : - Mme la Présidente du Tribunal d’arrondissement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