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AM17.006684 vom 17. Mai 2018</w:t>
      </w:r>
    </w:p>
    <w:p>
      <w:r>
        <w:t>VD Tribunal cantonal, 2018-05-17, FR</w:t>
      </w:r>
    </w:p>
    <w:p>
      <w:r>
        <w:rPr>
          <w:b/>
        </w:rPr>
        <w:t xml:space="preserve">Quelle: </w:t>
      </w:r>
      <w:r>
        <w:t>https://mcp.opencaselaw.ch/entscheid/vd_gerichte_AM17.006684</w:t>
      </w:r>
    </w:p>
    <w:p>
      <w:r>
        <w:t>FR: VD_GERICHTE AM17.006684 du 17 mai 2018</w:t>
      </w:r>
    </w:p>
    <w:p>
      <w:r>
        <w:t>IT: VD_GERICHTE AM17.006684 del 17 maggio 2018</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RS 312.0]), est susceptible de recours selon les art. 393 ss CPP (Riklin, in: Niggli/Heer/Wiprächtiger [éd.], Basler Kommentar, Schweizerische Strafprozessordnung, Praxiskommentar, 2e éd., Bâle 2014, n. 5 ad art. 355 CPP; Schwarzenegger, in: Donatsch/ Hansjakob/Lieber [éd.], Kommentar zur Schweizerischen Strafprozessordnung, 2e éd. 2014, n. 2 ad art. 355 CPP; CREP 13 décembre 2016/847; CREP 26 janvier 2015/59).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Il doit être adressé par écrit, dans un délai de dix jours dès la notification de la décision attaquée (cf. art. 384 let. b CPP), à l’autorité de recours (art. 396 al. 1 CPP).</w:t>
      </w:r>
    </w:p>
    <w:p>
      <w:r>
        <w:rPr>
          <w:b/>
        </w:rPr>
        <w:t>E. 1.2</w:t>
      </w:r>
    </w:p>
    <w:p>
      <w:r>
        <w:t>En l'espèce, interjeté dans les formes et délai légaux, par le prévenu qui a qualité pour recourir (art. 382 al. 1 CPP), le recours est recevable.</w:t>
      </w:r>
    </w:p>
    <w:p>
      <w:r>
        <w:rPr>
          <w:b/>
        </w:rPr>
        <w:t>E. 2</w:t>
      </w:r>
    </w:p>
    <w:p>
      <w:r>
        <w:t>- 4 -</w:t>
      </w:r>
    </w:p>
    <w:p>
      <w:r>
        <w:rPr>
          <w:b/>
        </w:rPr>
        <w:t>E. 2.1</w:t>
      </w:r>
    </w:p>
    <w:p>
      <w:r>
        <w:t>Le recourant fait valoir que le délai de comparution était trop court et ne lui a pas permis de se présenter à l’audience du 17 avril 2018.</w:t>
      </w:r>
    </w:p>
    <w:p>
      <w:r>
        <w:rPr>
          <w:b/>
        </w:rPr>
        <w:t>E. 2.2</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w:t>
      </w:r>
    </w:p>
    <w:p>
      <w:r>
        <w:t>- 5 - connaissance de cause, l’abus de droit étant réservé (ATF 140 IV 82 consid. 2.3 et 2.5, JdT 2014 IV 301; TF 6B_328/2014 du 20 janvier 2015).</w:t>
      </w:r>
    </w:p>
    <w:p>
      <w:r>
        <w:rPr>
          <w:b/>
        </w:rPr>
        <w:t>E. 2.3</w:t>
      </w:r>
    </w:p>
    <w:p>
      <w:r>
        <w:t>Selon l'art. 202 al. 1 CPP, le mandat de comparution est notifié, dans la procédure préliminaire, au moins trois jours avant la date de l'acte de procédure (let. a), et dans la procédure devant le tribunal, au moins dix jours avant la date de l'acte de procédure (let. b). La computation des délais s'effectue à partir du lendemain de la notification au sens de l'art. 85 al. 3 et 4 CPP (art. 90 al. 1 CPP; Chatton, in: Kuhn/Jeanneret [éd.], Commentaire romand, Code de procédure pénale suisse, Bâle 2011, n. 8 ad art. 202 CPP). Le non-respect des délais constitue une violation d'une règle de validité qui entraîne l'inexploitabilité de principe de l'acte de procédure accompli sous de tels auspices (Chatton, op. cit., n. 10 ad art. 202 CPP). L'art. 299 al. 1 CPP prévoit que la procédure préliminaire se compose de la procédure d'investigation de la police et de l'instruction conduite par le ministère public. La procédure préliminaire doit déboucher soit sur une ordonnance pénale, soit sur une mise en accusation, soit encore sur un classement (Maître, in: Kuhn/Jeanneret [éd.], op. cit., n. 4 ad art. 299 CPP). La procédure d'opposition ne fait dès lors pas partie de la procédure préliminaire (Titre 6 par opposition au Titre 8 du CPP). Ainsi, par une application analogique de l'art. 202 al. 1 let. b CPP, dans la procédure d'opposition, le mandat de comparution doit être notifié au moins dix jours avant la date de l'acte de procédure visé (CREP 4 août 2011/342).</w:t>
      </w:r>
    </w:p>
    <w:p>
      <w:r>
        <w:rPr>
          <w:b/>
        </w:rPr>
        <w:t>E. 2.4</w:t>
      </w:r>
    </w:p>
    <w:p>
      <w:r>
        <w:t>En l’espèce, le recourant a été cité à comparaître à l’audience du Ministère public du 17 avril 2018 par mandat de comparution envoyé par pli recommandé du 11 avril 2018, pour lequel un avis pour retrait a été déposé le 12 avril 2018 dans la boîte aux lettres de l’Association […], à Lausanne, que le prévenu avait indiquée comme domicile de notification. Le délai de garde postal, à l’échéance duquel un acte du ministère public envoyé par</w:t>
      </w:r>
    </w:p>
    <w:p>
      <w:r>
        <w:t>- 6 - pli recommandé – de manière à permettre un accusé de réception (cf. art. 85 al. CPP) – est réputé notifié conformément à l’art. 85 al. 4 let. a CPP, arrivait à échéance le 19 avril 2018, soit postérieurement à la date de l’audience du 17 avril 2018. Force est ainsi de constater, en premier lieu, que la notification au recourant du mandat de comparution à l’audience du 17 avril 2018 a eu lieu postérieurement à cette audience, en violation de l’art. 202 al. 1 let. b CPP applicable par analogie. En second lieu et surtout, les dates mêmes de la citation à comparaître – 11 avril – et de l’audience – 17 avril – violent déjà l’art. 202 al. 1 let. b CPP dès lors que moins de 10 jours les séparent, ce qui rend matériellement impossible une notification respectueuse de cette disposition. Dans ces conditions, la Procureure ne pouvait pas considérer que l’opposition du prévenu à l’ordonnance pénale était réputée retirée en application de l’art. 355 al. 2 CPP en raison du défaut du recourant à l’audience du 17 avril 2018.</w:t>
      </w:r>
    </w:p>
    <w:p>
      <w:r>
        <w:rPr>
          <w:b/>
        </w:rPr>
        <w:t>E. 3</w:t>
      </w:r>
    </w:p>
    <w:p>
      <w:r>
        <w:t>Il résulte de ce qui précède que le recours doit être admis, l’ordonnance du 20 avril 2018 annulée et le dossier de la cause renvoyé à la Procureure pour qu’elle convoque le recourant à une nouvelle audience en respectant le délai de l’art. 202 al. 1 let. b CPP. Les frais de la procédure de recours, constitués en l'espèce du seul émolument d'arrêt (art. 422 al. 1 CPP), par 660 fr. (art. 20 al. 1 TFIP [Tarif des frais de procédure et indemnités en matière pénale du 28 septembre 2010; RSV 312.03.1]), seront laissés à la charge de l’Etat (art. 428 al. 4 CPP). Par ces motifs, la Chambre des recours pénale prononce :</w:t>
      </w:r>
    </w:p>
    <w:p>
      <w:r>
        <w:t>- 7 - I. Le recours est admis. II. L’ordonnance du 20 avril 2018 est annulée. III. Le dossier de la cause est retourné au Ministère public de l’arrondissement de l’Est vaudois pour qu’il procède dans le sens des considérants. IV. Les frais de la procédure de recours, par 660 fr. (six cent soixante francs), sont laissés à la charge de l’Etat. V. L’arrêt est exécutoire. Le président : Le greffier : Du Le présent arrêt, dont la rédaction a été approuvée à huis clos, est notifié, par l'envoi d'une copie complète, à : - P._________, - Ministère public central, et communiqué à : - Mme la Procureure de l’arrondissement de l’Est vaudois,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