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AM16.018863 vom 25. November 2016</w:t>
      </w:r>
    </w:p>
    <w:p>
      <w:r>
        <w:t>VD Tribunal cantonal, 2016-11-25, FR</w:t>
      </w:r>
    </w:p>
    <w:p>
      <w:r>
        <w:rPr>
          <w:b/>
        </w:rPr>
        <w:t xml:space="preserve">Quelle: </w:t>
      </w:r>
      <w:r>
        <w:t>https://mcp.opencaselaw.ch/entscheid/vd_gerichte_AM16.018863</w:t>
      </w:r>
    </w:p>
    <w:p>
      <w:r>
        <w:t>FR: VD_GERICHTE AM16.018863 du 25 novembre 2016</w:t>
      </w:r>
    </w:p>
    <w:p>
      <w:r>
        <w:t>IT: VD_GERICHTE AM16.018863 del 25 novembre 2016</w:t>
      </w:r>
    </w:p>
    <w:p>
      <w:pPr>
        <w:pStyle w:val="Heading2"/>
      </w:pPr>
      <w:r>
        <w:t>Erwägungen</w:t>
      </w:r>
    </w:p>
    <w:p>
      <w:r>
        <w:rPr>
          <w:b/>
        </w:rPr>
        <w:t>E. 1</w:t>
      </w:r>
    </w:p>
    <w:p>
      <w:r>
        <w:t>Aux termes de l’art. 393 al. 1 let. a CPP (Code de procédure pénale suisse du 5 octobre 2007; RS 312.0), le recours est recevable contre les décisions et les actes de procédure de la police, du ministère public et des autorités pénales compétentes en matière de contraventions.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lieu d’entrer en matière sur le recours qui a été interjeté en temps utile, devant l’autorité compétente, par une partie qui a qualité pour recourir (art. 382 al. 1 CPP) contre une ordonnance statuant sur les effets du défaut du prévenu à l’audience (CREP 17 mai 2016/319 et CREP 24 septembre 2014/701).</w:t>
      </w:r>
    </w:p>
    <w:p>
      <w:r>
        <w:rPr>
          <w:b/>
        </w:rPr>
        <w:t>E. 2.1</w:t>
      </w:r>
    </w:p>
    <w:p>
      <w:r>
        <w:t>En l'espèce, le recourant soutient qu’il n’a pas reçu la citation à comparaître à l’audience du 26 octobre 2016 qui lui a été adressée sous pli recommandé.</w:t>
      </w:r>
    </w:p>
    <w:p>
      <w:r>
        <w:rPr>
          <w:b/>
        </w:rPr>
        <w:t>E. 2.2</w:t>
      </w:r>
    </w:p>
    <w:p>
      <w:r>
        <w:t>En matière d'ordonnance pénale, le défaut de celui qui a formé opposition est réglé de manière spécifique. Selon l'art. 355 al. 2 CPP, si</w:t>
      </w:r>
    </w:p>
    <w:p>
      <w:r>
        <w:t>- 4 - l'opposant, sans excuse, fait défaut à une audition devant le ministère public malgré une citation, son opposition est réputée retirée. Ainsi, contrairement à ce que prévoit l'art. 205 CPP, le défaut de l’opposant peut aboutir à une perte de toute protection juridique, nonobstant le fait que l'opposant ait précisément voulu une telle protection en formant opposition (cf. ATF 140 IV 82 consid. 2.4, JdT 2014 IV 301; TF 6B_328/2014 du 20 janvier 2015 consid. 2.1).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[Constitution fédérale de la Confédération suisse du 18 avril 1999 ; RS 101], 6 par.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(ATF 140 IV 82 consid. 2.3 et 2.5 ; CREP 11 février 2015/110 et CREP 14 avril 2015/253). Ainsi, sauf abus de droit, la fiction légale selon laquelle l’opposition est réputée retirée en cas de défaut sans excuse à une audition au sens de l’art. 355 al. 2 CPP ne s’applique que si l’opposant a effectivement eu connaissance de la citation et des conséquences du défaut de comparution (consid. 2.7). Dans le cas contraire, l’autorité est alors tenue de réitérer sa tentative de citation et de garantir ainsi le respect du droit d’être entendu (ibid.)</w:t>
      </w:r>
    </w:p>
    <w:p>
      <w:r>
        <w:t>- 5 -</w:t>
      </w:r>
    </w:p>
    <w:p>
      <w:r>
        <w:rPr>
          <w:b/>
        </w:rPr>
        <w:t>E. 2.3</w:t>
      </w:r>
    </w:p>
    <w:p>
      <w:r>
        <w:t>En l’espèce, le mandat de comparution du Ministère public pour l’audience du 26 octobre 2016 a été adressé sous pli recommandé à l’adresse du prévenu au Centre EVAM de Vevey. Or, ce pli a été retourné à son expéditeur le 7 novembre 2016. X.________ n’a donc manifestement pas eu une connaissance effective du contenu de ce courrier, en particulier de l’heure et de la date de l’audience à laquelle il était assigné à comparaître. Pour le surplus, aucun élément ne permet de conclure à l’existence d’un abus de droit du recourant. Il résulte de ce qui précède que le Ministère public ne pouvait pas considérer que l’opposition était réputée retirée selon la fiction consacrée par l’art. 355 al. 2 CPP. Il appartiendra donc à la Procureure d’assigner à nouveau le prévenu à l’audience et de poursuivre la procédure en application des art. 355 ss CPP.</w:t>
      </w:r>
    </w:p>
    <w:p>
      <w:r>
        <w:rPr>
          <w:b/>
        </w:rPr>
        <w:t>E. 3</w:t>
      </w:r>
    </w:p>
    <w:p>
      <w:r>
        <w:t>En définitive, le recours doit être admis et l’ordonnance du 26 octobre 2016 annulée. Le dossier de la cause sera renvoyé au Ministère public de l’arrondissement de l’Est vaudois pour qu'il procède dans le sens des considérants qui précèdent. Les frais de la procédure de recours, constitués en l’espèce du seul émolument d'arrêt (art. 422 al. 1 CPP), par 550 fr. (art. 20 al. 1 TFIP [tarif des frais de procédure et indemnités en matière pénale; RSV 312.03.1]), seront laissés à la charge de l’Etat (art. 423 al. 1 CPP). Par ces motifs, la Chambre des recours pénale prononce : I. Le recours est admis. II. L’ordonnance du 26 octobre 2016 est annulée.</w:t>
      </w:r>
    </w:p>
    <w:p>
      <w:r>
        <w:t>- 6 - III. Le dossier de la cause est renvoyé au Ministère public de l’arrondissement de l’Est vaudois pour qu’il procède dans le sens des considérants. IV. Les frais d’arrêt, par 550 fr. (cinq cent cinquante francs), sont laissés à la charge de l’Etat. V. L’arrêt est exécutoire. Le président : La greffière : Du Le présent arrêt, dont la rédaction a été approuvée à huis clos, est notifié, par l'envoi d'une copie complète, à : - M. X.________, - Ministère public central, et communiqué à : - Mme la Procureure de l’arrondissement de l’Est vaudois, - Service de la population du Canton de Vaud, division étrangers - Secrétariat d’Etat aux migrations,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