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AM16.004387 vom 9. Juni 2016</w:t>
      </w:r>
    </w:p>
    <w:p>
      <w:r>
        <w:t>VD Tribunal cantonal, 2016-06-09, FR</w:t>
      </w:r>
    </w:p>
    <w:p>
      <w:r>
        <w:rPr>
          <w:b/>
        </w:rPr>
        <w:t xml:space="preserve">Quelle: </w:t>
      </w:r>
      <w:r>
        <w:t>https://mcp.opencaselaw.ch/entscheid/vd_gerichte_AM16.004387</w:t>
      </w:r>
    </w:p>
    <w:p>
      <w:r>
        <w:t>FR: VD_GERICHTE AM16.004387 du 9 juin 2016</w:t>
      </w:r>
    </w:p>
    <w:p>
      <w:r>
        <w:t>IT: VD_GERICHTE AM16.004387 del 9 giugno 2016</w:t>
      </w:r>
    </w:p>
    <w:p>
      <w:pPr>
        <w:pStyle w:val="Heading2"/>
      </w:pPr>
      <w:r>
        <w:t>Erwägungen</w:t>
      </w:r>
    </w:p>
    <w:p>
      <w:r>
        <w:rPr>
          <w:b/>
        </w:rPr>
        <w:t>E. 1</w:t>
      </w:r>
    </w:p>
    <w:p>
      <w:r>
        <w:t>Aux termes de l’art. 410 al. 1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Ce moyen de droit extraordinaire permet de revoir un jugement, entré en force et entaché d'une erreur de fait. Moyen de droit</w:t>
      </w:r>
    </w:p>
    <w:p>
      <w:r>
        <w:t>- 4 - subsidiaire, la révision n'est pas ouverte contre les décisions pour lesquelles d'autres voies de recours sont ouvertes ; la révision ne doit en effet pas servir à pallier à l'oubli d'un moyen de droit dit ordinaire (Moreillon/Parein-Reymond, op. cit., n. 2 ad art. 398 CPP et les références citées).</w:t>
      </w:r>
    </w:p>
    <w:p>
      <w:r>
        <w:rPr>
          <w:b/>
        </w:rPr>
        <w:t>E. 2.1</w:t>
      </w:r>
    </w:p>
    <w:p>
      <w:r>
        <w:t>J.________ requiert la révision de l'ordonnance pénale du 5 avril 2016. Il fait valoir à cette fin des inexactitudes quant au lieu et à l'heure de l'infraction retenus par le Ministère public et explique ne pas avoir eu connaissance de l'ordonnance pénale rendue à son encontre avant qu'il ne consulte son dossier auprès du Service des automobiles.</w:t>
      </w:r>
    </w:p>
    <w:p>
      <w:r>
        <w:rPr>
          <w:b/>
        </w:rPr>
        <w:t>E. 2.2</w:t>
      </w:r>
    </w:p>
    <w:p>
      <w:r>
        <w:t>En l'espèce, les contestations du demandeur ont trait à des faits qu'il aurait dû faire valoir par la voie de l'opposition contre l'ordonnance pénale du 5 avril 2016. A cet égard, dès lors qu'il avait fait l'objet d'une audition par la police en qualité de prévenu et qu'il a signé le 12 février 2016 l'avis l'informant de ses droits ainsi que le rapport de renseignements, le prévenu ne pouvait pas ignorer l'existence d'une procédure pénale dirigée à son encontre et devait de bonne foi s'attendre à recevoir un pli judiciaire. Il s'ensuit qu'à défaut d'avoir retiré le pli recommandé qui lui était destiné à l'échéance du délai de garde de sept jours, J.________ doit se voir opposer le mode de notification prévu à l'art. 85 al. 4 let. a CPP. En conséquence, dès lors que la demande de révision ne peut pas servir à remédier la tardiveté ou l'oubli de l'opposition, elle doit être déclarée irrecevable.</w:t>
      </w:r>
    </w:p>
    <w:p>
      <w:r>
        <w:rPr>
          <w:b/>
        </w:rPr>
        <w:t>E. 3</w:t>
      </w:r>
    </w:p>
    <w:p>
      <w:r>
        <w:t>En définitive, la demande de révision doit être déclarée irrecevable, sans autre échange d'écritures (art. 412 al. 2 CPP). Vu l'issue de la cause, les frais de la procédure de révision, constitués en l'espèce du seul émolument d'arrêt, par 440 fr. (art. 21 al. 1 TFIP [Tarif des frais de procédure et indemnités en matière pénale du 28 septembre 2010; RSV 312.03.1]), seront mis à la charge d'J.________, qui succombe (art. 428 al. 1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