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AM15.019448 vom 9. Februar 2016</w:t>
      </w:r>
    </w:p>
    <w:p>
      <w:r>
        <w:t>VD Tribunal cantonal, 2016-02-09, FR</w:t>
      </w:r>
    </w:p>
    <w:p>
      <w:r>
        <w:rPr>
          <w:b/>
        </w:rPr>
        <w:t xml:space="preserve">Quelle: </w:t>
      </w:r>
      <w:r>
        <w:t>https://mcp.opencaselaw.ch/entscheid/vd_gerichte_AM15.019448</w:t>
      </w:r>
    </w:p>
    <w:p>
      <w:r>
        <w:t>FR: VD_GERICHTE AM15.019448 du 9 février 2016</w:t>
      </w:r>
    </w:p>
    <w:p>
      <w:r>
        <w:t>IT: VD_GERICHTE AM15.019448 del 9 febbraio 2016</w:t>
      </w:r>
    </w:p>
    <w:p>
      <w:pPr>
        <w:pStyle w:val="Heading2"/>
      </w:pPr>
      <w:r>
        <w:t>Erwägungen</w:t>
      </w:r>
    </w:p>
    <w:p>
      <w:r>
        <w:rPr>
          <w:b/>
        </w:rPr>
        <w:t>E. 23</w:t>
      </w:r>
    </w:p>
    <w:p>
      <w:r>
        <w:t>novembre 2015 par le Ministère public de l’arrondissement du Nord vaudois était tardive, l’a déclarée irrecevable (I), a dit que cette ordonnance était exécutoire (II) et a dit que la décision était rendue sans frais (III). C. Par acte mis à la poste le 2 février 2016, X.________ a recouru auprès de la Chambre des recours pénale contre ce prononcé, en concluant implicitement à sa réforme en ce sens que l’opposition soit déclarée recevable. Reconnaissant expressément avoir interjeté opposition tardivement, il fait valoir qu’il avait considéré à tort que le délai d’opposition était de vingt jours au lieu de dix. Il n’a pas été ordonné d’échanges d’écritures. En d roit :</w:t>
      </w:r>
    </w:p>
    <w:p>
      <w:r>
        <w:t>- 3 - 1.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2e éd., Bâle 2014, n. 2 ad art. 356 CPP; CREP 30 décembre 2014/925; CREP 24 septembre 2014/695). En l’espèce, le recours a été interjeté en temps utile devant l’autorité compétente par le prévenu, qui a qualité pour recourir (art. 382 al. 1 CPP), et dans les formes prescrites (art. 385 al. 1 CPP), de sorte qu’il est recevable. 2. 2.1 Le Ministère public peut rendre une ordonnance pénale lorsque les conditions prévues à l'art. 352 al. 1 CPP sont réunies.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[loi vaudoise du 19 mai 2009 d’introduction du code de procédure pénale suisse; RSV 312.01]). Si l'opposition a été formée tardivement, le tribunal la déclare irrecevable. Elle est tardive si elle a été adressée à l’autorité après le délai de dix jours prévu par l'art. 354 al. 1 CPP.</w:t>
      </w:r>
    </w:p>
    <w:p>
      <w:r>
        <w:t>- 4 -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2.2 En l’espèce, l’ordonnance pénale a été notifiée au prévenu le</w:t>
      </w:r>
    </w:p>
    <w:p>
      <w:r>
        <w:rPr>
          <w:b/>
        </w:rPr>
        <w:t>E. 24</w:t>
      </w:r>
    </w:p>
    <w:p>
      <w:r>
        <w:t>novembre 2015, comme cela ressort du relevé de suivi postal (P. 7). Le recourant ne le conteste du reste pas. Courant depuis le lendemain de la notification (art. 90 al. 1 CPP), le délai d’opposition a dès lors expiré le vendredi 4 décembre 2015. Déposée le 9 décembre 2015 seulement, l’opposition est donc manifestement tardive. A juste titre, le recourant l’admet expressément. Le recourant ne saurait par ailleurs se prévaloir de ce qu’il aurait cru que le délai légal d’opposition était de vingt jours dès lors que le délai de dix jours était expressément mentionné au pied de l’ordonnance pénale. Pour le surplus, le recourant n’a pas requis la restitution du délai d’opposition selon l’art. 94 CPP. Du reste, il découle de l’art. 94 al. 2, 1re phrase, CPP qu’une telle demande aurait ici relevé de la compétence du Ministère public et non de celle de la Cour de céans.</w:t>
      </w:r>
    </w:p>
    <w:p>
      <w:r>
        <w:t>- 5 - Enfin, les moyens de fond soulevés dans le recours sont irrecevables dans la présente procédure. C’est donc à juste titre que le tribunal de police a déclaré l’opposition irrecevable. 3. En définitive, le recours, manifestement mal fondé, doit être rejeté sans autre échange d’écritures (art. 390 al. 2 CPP) et le prononcé du 18 janvier 2016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18 janvier 2016 est confirmé. III. Les frais d’arrêt, par 550 fr. (cinq cent cinquante francs), sont mis à la charge de X.________. IV. Le présent arrêt est exécutoire. Le président : Le greffier :</w:t>
      </w:r>
    </w:p>
    <w:p>
      <w:r>
        <w:t>- 6 - Du Le présent arrêt, dont la rédaction a été approuvée à huis clos, est notifié, par l'envoi d'une copie complète, à : - M. X.________, - Ministère public central, et communiqué à : - M. le Président du Tribunal de police de l’arrondissement de la Broye et du Nord vaudois,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