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AM15.011514 vom 7. Dezember 2015</w:t>
      </w:r>
    </w:p>
    <w:p>
      <w:r>
        <w:t>VD Tribunal cantonal, 2015-12-07, FR</w:t>
      </w:r>
    </w:p>
    <w:p>
      <w:r>
        <w:rPr>
          <w:b/>
        </w:rPr>
        <w:t xml:space="preserve">Quelle: </w:t>
      </w:r>
      <w:r>
        <w:t>https://mcp.opencaselaw.ch/entscheid/vd_gerichte_AM15.011514</w:t>
      </w:r>
    </w:p>
    <w:p>
      <w:r>
        <w:t>FR: VD_GERICHTE AM15.011514 du 7 décembre 2015</w:t>
      </w:r>
    </w:p>
    <w:p>
      <w:r>
        <w:t>IT: VD_GERICHTE AM15.011514 del 7 dicembre 2015</w:t>
      </w:r>
    </w:p>
    <w:p>
      <w:pPr>
        <w:pStyle w:val="Heading2"/>
      </w:pPr>
      <w:r>
        <w:t>Erwägungen</w:t>
      </w:r>
    </w:p>
    <w:p>
      <w:r>
        <w:rPr>
          <w:b/>
        </w:rPr>
        <w:t>E. 1</w:t>
      </w:r>
    </w:p>
    <w:p>
      <w:r>
        <w:t>- 3 -</w:t>
      </w:r>
    </w:p>
    <w:p>
      <w:r>
        <w:rPr>
          <w:b/>
        </w:rPr>
        <w:t>E. 1.1</w:t>
      </w:r>
    </w:p>
    <w:p>
      <w:r>
        <w:t>Selon l’art. 363 al. 2 CPP, le Ministère public qui rend une décision dans une procédure d'ordonnance pénale est également compétent pour rendre les décisions ultérieures. Tel est notamment le cas d’une ordonnance statuant sur l’indemnité éventuellement due au prévenu mis au bénéfice d’une ordonnance de classement pour les dépenses occasionnées par l’exercice raisonnable de ses droits de procédure (art. 429 al. 1 let. c CPP) lorsque les prétentions n’ont pas été traitées dans la décision de première instance (cf. TF 6B_265/2012 du 10 septembre 2012, c. 2.3). De telles décisions sont susceptibles de recours selon la procédure des art. 393 ss CPP (Perrin, in: Kuhn/Jeanneret [éd.], Commentaire romand, Code de procédure pénale suisse, Bâle 2011, n. 11 ad art. 365 CPP; Moreillon/Parein-Reymond, in: Petit commentaire du Code de procédure pénale, Bâle 2013, n. 7 ad art. 363 CPP; Heer, in: Niggli/Heer/ Wiprächtiger [éd.], Basler Kommentar, Schweizerische Strafprozessordnung, Jugendstrafprozessordnung, Bâle 2011, n. 6 ad art. 365 CPP).</w:t>
      </w:r>
    </w:p>
    <w:p>
      <w:r>
        <w:rPr>
          <w:b/>
        </w:rPr>
        <w:t>E. 1.2</w:t>
      </w:r>
    </w:p>
    <w:p>
      <w:r>
        <w:t>Le recours s’exerce auprès de l’autorité de recours (cf. art. 20 al. 1 let. b CPP), qui dans le canton de Vaud est la Chambre des recours pénale du Tribunal cantonal (art. 13 LVCPP [loi d’introduction du code de procédure pénale suisse; RSV 312.01]; art. 80 LOJV). Le recours doit être adressé par écrit, dans un délai de dix jours dès la notification de la décision attaquée (cf. art. 384 let. b CPP), à l’autorité de recours (art. 396 al. 1 CPP).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 CREP 14 décembre 2012/858).</w:t>
      </w:r>
    </w:p>
    <w:p>
      <w:r>
        <w:t>- 4 -</w:t>
      </w:r>
    </w:p>
    <w:p>
      <w:r>
        <w:rPr>
          <w:b/>
        </w:rPr>
        <w:t>E. 1.3</w:t>
      </w:r>
    </w:p>
    <w:p>
      <w:r>
        <w:t>En l’espèce, interjeté dans le délai légal et dans les formes prescrites devant l’autorité compétente, par une partie ayant qualité pour recourir, le recours de N.________ est recevable.</w:t>
      </w:r>
    </w:p>
    <w:p>
      <w:r>
        <w:rPr>
          <w:b/>
        </w:rPr>
        <w:t>E. 2.1</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 romand, Code de procédure pénale suisse, Bâle 2011,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prévue par l’art. 436 al. 2 CPP – concerne les dépenses du prévenu pour un avocat de choix (TF 6B_65/2012 du 23 février 2012 consid. 2; Grieser, in: Donatsch/Hansjakob/Lieber (éd.), Kommentar zur schweizerischen Strafprozessordnung, 2010, n. 4 ad art. 429 CPP; Schmid, Schweizerische Strafprozessordnung, Praxiskommentar, 2009, n. 7 ad art. 429 CPP; Wehrenberg/Bernhard, in: Niggli/Heer/Wiprächtiger (éd.), Basler Kommentar, Schweizerische Strafprozessordnung, Jugendstrafprozessordnung, Bâle 2011, n. 12 ad art. 429 CPP et n. 3 in fine ad art. 436 CPP) et comprend également les débours, tels que photocopies et frais de communication (Wehrenberg/Bernhard, op. cit., n. 17 ad art.</w:t>
      </w:r>
    </w:p>
    <w:p>
      <w:r>
        <w:t>- 5 - 429 CPP; Mizel/Rétornaz, op. cit., n. 36 ad art. 429 CPP; CAPE 14 mars 2012/88 consid. 2.2). Dans un arrêt de principe, le Tribunal fédéral a également exposé que cette indemnisation ne se limitait pas au cas où l’intéressé avait été prévenu à tort d’avoir commis un crime ou un délit (ATF 138 IV 197, consid.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consid. 2.3.5).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(ATF 138 IV 197 consid. 2.3.4, p. 203; Message précité, FF 2006 II 1313; Wehrenberg/Bernhard, op. cit., n. 15 ad art. 429 CPP; Mizel/Rétornaz, op. cit., n. 31 ad art. 429 CPP; CAPE 14 mars 2012/88 c. 2.2; Juge unique CREP 9 mars 2012/152; Juge unique CREP 14 février 2012/79; Juge unique CREP 28 mars 2014/239; Juge unique CREP 26 octobre 2015/688; ATF 115 IV 156 consid. 2d).</w:t>
      </w:r>
    </w:p>
    <w:p>
      <w:r>
        <w:rPr>
          <w:b/>
        </w:rPr>
        <w:t>E. 2.2</w:t>
      </w:r>
    </w:p>
    <w:p>
      <w:r>
        <w:t>Dans le cas d'espèce, la procédure d'opposition à l'ordonnance pénale ne nécessitait pas l'intervention d'un avocat. En effet, en application de l'art. 354 al. 2 CPP, l'acte par lequel un prévenu forme opposition n'a pas besoin d'être motivé. L'opposition doit uniquement être adressée par écrit au</w:t>
      </w:r>
    </w:p>
    <w:p>
      <w:r>
        <w:t>- 6 - Ministère public dans un délai de dix jours suivant la notification de l'ordonnance pénale. Cette démarche ne présente aucune difficulté justifiant l'intervention d'un avocat. Suite à son opposition, N.________ a été convoqué par le Ministère public pour être entendu. Contestant les faits qui lui étaient reprochés, il a été mis au bénéfice de ses déclarations et une ordonnance de classement a été rendue en sa faveur. Outre le fait que la cause était simple en fait et en droit, il sied de préciser que l'ensemble des démarches effectuées auprès du Service des automobiles et de la navigation ne concernent pas la procédure pénale, de sorte que l'intervention de l'avocat dans la procédure administrative n'a pas été prise en compte ici. Au vu de ce qui précède, c'est à juste titre que le Ministère public a refusé l'octroi d'une indemnité fondée sur l'art. 429 al. 1 let. a CPP.</w:t>
      </w:r>
    </w:p>
    <w:p>
      <w:r>
        <w:rPr>
          <w:b/>
        </w:rPr>
        <w:t>E. 3</w:t>
      </w:r>
    </w:p>
    <w:p>
      <w:r>
        <w:t>Le recours doit être rejeté sans autres échanges d’écritures (art. 390 al. 2 CPP) et l'ordonnance entreprise confirmée. Les frais de la procédure de recours, constitués en l’espèce du seul émolument d’arrêt (art. 422 al. 1 CPP), par 540 fr. (art. 20 al. 1 TFIP [Tarif des frais de procédure et indemnités en matière pénale du 28 septembre 2010; RSV 312.03.1]), seront mis à la charge de N.________, qui succombe (art. 428 al. 1 CPP). Par ces motifs, le Juge unique prononce : I. Le recours est rejeté. II. L'ordonnance du 18 novembre 2015 est confirmée. III. Les frais d'arrêt, par 540 fr. (cinq cent quarante francs) sont mis à la charge de N.________.</w:t>
      </w:r>
    </w:p>
    <w:p>
      <w:r>
        <w:t>- 7 - IV. Le présent arrêt est exécutoire. Le Juge unique : La greffière : Du Le présent arrêt, dont la rédaction a été approuvée à huis clos, est notifié, par l'envoi d'une copie complète, à : - Me Grégoire Henriod, avocat (pour 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