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AM14.016972 vom 12. Februar 2015</w:t>
      </w:r>
    </w:p>
    <w:p>
      <w:r>
        <w:t>VD Tribunal cantonal, 2015-02-12, FR</w:t>
      </w:r>
    </w:p>
    <w:p>
      <w:r>
        <w:rPr>
          <w:b/>
        </w:rPr>
        <w:t xml:space="preserve">Quelle: </w:t>
      </w:r>
      <w:r>
        <w:t>https://mcp.opencaselaw.ch/entscheid/vd_gerichte_AM14.016972</w:t>
      </w:r>
    </w:p>
    <w:p>
      <w:r>
        <w:t>FR: VD_GERICHTE AM14.016972 du 12 février 2015</w:t>
      </w:r>
    </w:p>
    <w:p>
      <w:r>
        <w:t>IT: VD_GERICHTE AM14.016972 del 12 febbraio 2015</w:t>
      </w:r>
    </w:p>
    <w:p>
      <w:pPr>
        <w:pStyle w:val="Heading2"/>
      </w:pPr>
      <w:r>
        <w:t>Erwägungen</w:t>
      </w:r>
    </w:p>
    <w:p>
      <w:r>
        <w:rPr>
          <w:b/>
        </w:rPr>
        <w:t>E. 4</w:t>
      </w:r>
    </w:p>
    <w:p>
      <w:r>
        <w:t>En conclusion, l’appel est partiellement admis en ce sens qu’une peine pécuniaire de 180 jours-amende doit être prononcée à l’encontre de M.________ pour sanctionner son comportement, le jugement attaqué étant confirmé pour le surplus. Vu l’issue de la cause, les frais d’appel seront mis pour un tiers à la charge de M.________, le solde étant laissé à la charge de l’Etat (art. 423 al. 1 et 428 al. 1 CPP). Outre l’émolument, qui se monte à 1'280 fr. (art. 21 al. 1 et 2 TFIP [Tarif des frais de procédure et indemnités en matière pénale du 28 septembre 2010; RSV 312.03.1]), ces frais comprennent l’indemnité allouée au défenseur d’office de M.________, par 810 fr 30, TVA et débours inclus. M.________ ne sera tenu de rembourser à l’Etat le tiers du montant de l’indemnité de son défenseur d’office que lorsque sa situation financière le permettra (art. 135 al. 4 CPP).</w:t>
      </w:r>
    </w:p>
    <w:p>
      <w:r>
        <w:rPr>
          <w:b/>
        </w:rPr>
        <w:t>E. 5</w:t>
      </w:r>
    </w:p>
    <w:p>
      <w:r>
        <w:t>Le dispositif communiqué après l’audience d’appel est entaché d’une erreur manifeste à son chiffre V., dès lors qu’il renvoie au chiffre IV, en lieu et place du chiffre III, s’agissant de l’indemnité prévue en faveur du défenseur d’office. En application de l’art. 83 CPP, il sera rectifié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