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AM13.022127 vom 26. Juni 2014</w:t>
      </w:r>
    </w:p>
    <w:p>
      <w:r>
        <w:t>VD Tribunal cantonal, 2014-06-26, FR</w:t>
      </w:r>
    </w:p>
    <w:p>
      <w:r>
        <w:rPr>
          <w:b/>
        </w:rPr>
        <w:t xml:space="preserve">Quelle: </w:t>
      </w:r>
      <w:r>
        <w:t>https://mcp.opencaselaw.ch/entscheid/vd_gerichte_AM13.022127</w:t>
      </w:r>
    </w:p>
    <w:p>
      <w:r>
        <w:t>FR: VD_GERICHTE AM13.022127 du 26 juin 2014</w:t>
      </w:r>
    </w:p>
    <w:p>
      <w:r>
        <w:t>IT: VD_GERICHTE AM13.022127 del 26 giugno 2014</w:t>
      </w:r>
    </w:p>
    <w:p>
      <w:pPr>
        <w:pStyle w:val="Heading2"/>
      </w:pPr>
      <w:r>
        <w:t>Erwägungen</w:t>
      </w:r>
    </w:p>
    <w:p>
      <w:r>
        <w:rPr>
          <w:b/>
        </w:rPr>
        <w:t>E. 4.1</w:t>
      </w:r>
    </w:p>
    <w:p>
      <w:r>
        <w:t>Il reste à fixer la quotité de la peine privative de liberté.</w:t>
      </w:r>
    </w:p>
    <w:p>
      <w:r>
        <w:t>- 13 - Selon l'art. 47 CP, également applicable en matière de circulation routière en vertu du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4.2</w:t>
      </w:r>
    </w:p>
    <w:p>
      <w:r>
        <w:t>Dans le cas particulier, il faut noter l’importance du taux d’alcoolémie, le concours d’infractions, les lourds antécédents, la récidive spéciale et l’attitude désinvolte de l’auteur à l’égard de la sécurité routière, ce qui témoigne d’un manque d’amendement. Il s’agit d’autant d’éléments à charge. En première instance comme en appel, l’intimé, se prévalant de l’art. 18 CP, fait plaider l’état de nécessité excusable. Il soutient que cette circonstance est réalisée du seul fait que son amie avait abandonné le volant et quitté le véhicule après une altercation avec lui, le laissant</w:t>
      </w:r>
    </w:p>
    <w:p>
      <w:r>
        <w:t>- 14 - seul. Les faits invoqués ne sont pas établis au vu du premier interrogatoire du prévenu, effectué par la police le 7 septembre 2013 dès 3 h 50 (PV 1). En effet, il n’avait alors nullement mentionné la présence d’un tiers dans l’habitacle. Ce n’est que lors de son audition par le Procureur, le 18 décembre 2013, qu’il a évoqué la présence de son amie au volant et la dispute qui l’aurait opposé à elle (PV 2, lignes 37-38). Or, il aurait pu la faire entendre pour qu’elle confirme les circonstances qu’il invoque à présent. En d’autres termes, la version présentée en appel par l’intimé n’est pas crédible au vu en particulier de ses premières déclarations. En plus, rien ne l’empêchait de regagner son domicile après avoir parqué le véhicule au bord de la route – comme il l’a du reste fait sans difficulté notable en se faisant conduire par un tiers après l’embardée –, étant précisé qu’il ne fait pas froid au début septembre au pied du Jura. Ce qui précède exclut tout état de nécessité, indépendamment même des circonstances invoquées. Il n’y a dès lors pas d’actio modera in causa. Au titre de facteur commandant une réduction de peine, on doit cependant retenir une légère diminution du discernement, dès lors que l’alcoolémie était de plus de 2 ‰ (ATF 122 IV 49). Pour le reste, on ne discerne pas d’éléments à décharge, hormis la bonne intégration sociale de l’auteur. A cet égard, le fait que l’intimé ait, depuis les faits, cédé sa voiture à son frère ne saurait être considéré comme un indice d’amendement. Tout bien pesé, c’est une peine privative de liberté de quatre mois qui doit être prononcée, cette peine étant additionnelle au sens de l’art. 49 al. 2 CP à celle prononcée le 11 octobre 2013 par le Ministère public du canton de Neuchâtel. Il appartiendra à l’intimé de s’adresser à l’Office d’exécution des peines quant aux modalités de sa détention, afin de pallier autant que faire se peut le risque que l’exécution de sa peine lui fasse perdre son emploi. A noter à cet égard que, selon l’art. 79 al. 1 CP, les peines privatives de liberté de moins de six mois et les soldes de peine de moins de six mois après imputation de la détention subie avant le jugement sont en règle générale exécutés sous la forme de la semi-détention.</w:t>
      </w:r>
    </w:p>
    <w:p>
      <w:r>
        <w:t>- 15 -</w:t>
      </w:r>
    </w:p>
    <w:p>
      <w:r>
        <w:rPr>
          <w:b/>
        </w:rPr>
        <w:t>E. 4.4</w:t>
      </w:r>
    </w:p>
    <w:p>
      <w:r>
        <w:t>pp. 143-144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w:t>
      </w:r>
    </w:p>
    <w:p>
      <w:r>
        <w:t>- 16 - déterminant à lui seul – dans l'examen du pronostic (cf. ATF 134 IV 140 c. 5.3).</w:t>
      </w:r>
    </w:p>
    <w:p>
      <w:r>
        <w:rPr>
          <w:b/>
        </w:rPr>
        <w:t>E. 5.1</w:t>
      </w:r>
    </w:p>
    <w:p>
      <w:r>
        <w:t>L’appelant conclut aussi à la révocation du sursis octroyé le 17 février 2012 par le Ministère public du canton de Neuchâtel.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w:t>
      </w:r>
    </w:p>
    <w:p>
      <w:r>
        <w:rPr>
          <w:b/>
        </w:rPr>
        <w:t>E. 5.2</w:t>
      </w:r>
    </w:p>
    <w:p>
      <w:r>
        <w:t>En l'espèce, le fait déterminant est que, pour la première fois, ses infractions routières conduiront l’intimé derrière les barreaux. Cette hypothèse constitue un cas d’école de l'effet de choc et d'avertissement issu de la condamnation précédente au sens de la jurisprudence ci-dessus. L’auteur n’a pas d’antécédent étranger à la circulation routière. Dans ces conditions, il doit être admis que le risque de réitération sera considérablement réduit par l’exécution de la peine privative de liberté. Il n’y a donc pas matière à révocation du sursis. Pour le surplus, l’appelant ne demande pas la prolongation du délai d’épreuve au sens de l’art. 46 al. 2, 2e phrase, CP.</w:t>
      </w:r>
    </w:p>
    <w:p>
      <w:r>
        <w:rPr>
          <w:b/>
        </w:rPr>
        <w:t>E. 6</w:t>
      </w:r>
    </w:p>
    <w:p>
      <w:r>
        <w:t>En définitive, l’appel doit être partiellement admis et le jugement attaqué réformé dans la mesure ci-dessus. Vu l'issue de la cause, les frais d'appel doivent être mis à la charge de l’intimé par moitié, le solde étant laissé à la charge de l’Etat. En effet, l’intimé succombe partiellement dans la mesure où il a conclu au rejet de l’appel (art. 428 al. 1 CPP). Outre l'émolument (art. 21 al. 1 et 2 TFIP [Tarif des frais de procédure et indemnités en matière pénale du 28 septembre 2010; RSV 312.03.1]), ces frais comprennent l’indemnité allouée à son défenseur d’office. Au vu de la faible complexité de la cause, il convient d'allouer au défenseur d’office de l’intimé une indemnité arrêtée sur la base d’une durée d’activité de quatre heures, au tarif horaire de 180 fr., plus une unité de vacation à 120 fr. et 58 fr. d’autres débours, établis à satisfaction, donc à hauteur de 969 fr. 85, TVA comprise. L’intimé ne sera tenu de rembourser à l’Etat la moitié du montant de l'indemnité en faveur de son défenseur d’office que lorsque sa situation financière le permettra (art. 135 al. 4 let. a CPP).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