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AM12.007771 vom 8. Dezember 2016</w:t>
      </w:r>
    </w:p>
    <w:p>
      <w:r>
        <w:t>VD Tribunal cantonal, 2016-12-08, FR</w:t>
      </w:r>
    </w:p>
    <w:p>
      <w:r>
        <w:rPr>
          <w:b/>
        </w:rPr>
        <w:t xml:space="preserve">Quelle: </w:t>
      </w:r>
      <w:r>
        <w:t>https://mcp.opencaselaw.ch/entscheid/vd_gerichte_AM12.007771</w:t>
      </w:r>
    </w:p>
    <w:p>
      <w:r>
        <w:t>FR: VD_GERICHTE AM12.007771 du 8 décembre 2016</w:t>
      </w:r>
    </w:p>
    <w:p>
      <w:r>
        <w:t>IT: VD_GERICHTE AM12.007771 del 8 dicembre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Le recourant invoque une violation de l’art. 88 al. 4 CPP. Il fait valoir que la fiction de notification prévue par cette disposition ne serait pas opérante, dans la mesure où elle serait contraire à l’art. 6 CEDH</w:t>
      </w:r>
    </w:p>
    <w:p>
      <w:r>
        <w:t>- 4 - (Convention de sauvegarde des droits et des libertés fondamentales du 4 novembre 1950 ; RS 0.101). Il reproche également au Ministère public de ne pas avoir accompli toutes les démarches nécessaires afin de déterminer son lieu de séjour. Il estime ainsi que le délai pour former opposition n’aurait commencé à courir que lorsqu’il a effectivement pris connaissance de l’ordonnance pénale, c’est-à-dire dans les dix jours précédant son opposition du 18 juillet 2016.</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2e éd. 2014, n° 11 ad art. 88 CPP; Daniela Brüschweiler, in : Donatsch/Hansjakob/Lieber [éd.], Kommentar</w:t>
      </w:r>
    </w:p>
    <w:p>
      <w:r>
        <w:t>- 5 - zur Schweizerischen Strafprozessordnung,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 4 CPP, notamment la fiction de retrait de l’opposition en cas de défaut de l’opposant sans excuse à une audition du Ministère public postérieure au dépôt de l’opposition (art. 355 al. 2 CPP), ainsi que la fiction de notification en cas de non-retrait du prononcé dans le délai de garde (art. 85 al. 4 let. a CPP).</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w:t>
      </w:r>
    </w:p>
    <w:p>
      <w:r>
        <w:t>- 6 -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 2.1 et les références citées). Le Tribunal fédéral considère qu’il en va de même lorsque la personne concernée est informée par la police qu'une procédure préliminaire est ouverte à son encontre (TF 6B_158/2012 du 27 juillet 2012 consid. 2.2).</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w:t>
      </w:r>
    </w:p>
    <w:p>
      <w:r>
        <w:t>- 7 -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 4 CPP ne doit pas être considéré, de manière absolue, comme contraire à l’art. 6 par. 1 CEDH, mais il convient d’effectuer une appréciation concrète de chaque situation pour déterminer si les garanties procédurales fondamentales ont été respectées (CREP 7 avril 2016/224 consid. 2.3.4 ; CREP 8 septembre 2015/601 consid. 2.3.4).</w:t>
      </w:r>
    </w:p>
    <w:p>
      <w:r>
        <w:rPr>
          <w:b/>
        </w:rPr>
        <w:t>E. 2.5</w:t>
      </w:r>
    </w:p>
    <w:p>
      <w:r>
        <w:t>En l’espèce, lors de son interpellation par la police le 19 avril 2012 pour infraction à la LStup, le recourant était sans domicile connu. Au début de son audition le même jour,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Ce</w:t>
      </w:r>
    </w:p>
    <w:p>
      <w:r>
        <w:t>- 8 -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infraction à la LStup. Il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infraction à la LStup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le recourant a expliqué, lors de son audition du 19 avril 2012, qu’il était arrivé en Suisse trois mois auparavant, qu’il avait déposé une demande d’asile et avait été attribué au centre EVAM de Begnins. Après avoir été renvoyé en France, il était revenu en Suisse dans le courant du mois de mars 2012. Il a indiqué qu’il dormait « actuellement dans une maison abandonnée à [...] à Nyon avec d’autres personnes ». Postérieurement à son audition du 19 avril 2012, le recourant n’a fourni aucun autre renseignement plus précis sur un quelconque lieu de séjour où il pourrait recevoir des communications des autorités. En particulier, il n’a pas mentionné le Centre EVAM de Begnins. N’ayant que des indices vagues et imprécis pour orienter ses recherches, on ne voit pas quelles démarches concrètes le Ministère public aurait pu entreprendre pour</w:t>
      </w:r>
    </w:p>
    <w:p>
      <w:r>
        <w:t>- 9 - déterminer le lieu de séjour du recourant. Celui-ci n’en indique d’ailleurs aucune. Ainsi, le Ministère public ne pouvait pas tenter de le localiser sans des investigations disproportionnées (art. 88 al. 1 let. a CPP). Enfin, on ne pouvait exiger des autorités, pour qui l’ordonnance pénale était réputée notifiée le jour de son prononcé, qu’elles la communiquent lors d’interpellations ultérieures. Compte tenu des circonstances du cas d’espèce, l’application de l’art. 88 al. 4 CPP ne viole pas les garanties constitutionnelles et conventionnelles.</w:t>
      </w:r>
    </w:p>
    <w:p>
      <w:r>
        <w:rPr>
          <w:b/>
        </w:rPr>
        <w:t>E. 3</w:t>
      </w:r>
    </w:p>
    <w:p>
      <w:r>
        <w:t>Il résulte de ce qui précède que l’ordonnance pénale du 8 mai 2012 est réputée avoir été notifiée le jour de son prononcé et que l’opposition formée par le recourant le 18 juillet 2016 est manifestement tardive. C’est donc à juste titre que le Tribunal de police l’a déclarée irrecevable.</w:t>
      </w:r>
    </w:p>
    <w:p>
      <w:r>
        <w:rPr>
          <w:b/>
        </w:rPr>
        <w:t>E. 4</w:t>
      </w:r>
    </w:p>
    <w:p>
      <w:r>
        <w:t>En définitive, le recours doit être rejeté et le prononcé du 1er novembre 2016 confirmé. L’avocate Dina Bazarbachi sera désignée en qualité de défenseur d’office de H.________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II. Le prononcé du 1er novembre 2016 est confirmé. III. Me Dina Bazarbachi est désignée en qualité de défenseur d’office de H.________ pour la procédure de recours et son indemnité d’office est fixée 291 fr. 60 (deux cent nonante et un francs et soixante centimes). IV. Les frais d’arrêt, par 990 fr. (neuf cent nonante francs), ainsi que l’indemnité due au défenseur d’office de H.________, par 291 fr. 60 (deux cent nonante et un francs et soixante centimes), sont mis à la charge de ce dernier. V. Le remboursement à l’Etat de l’indemnité allouée au chiffre III ci-dessus sera exigible pour autant que la situation économique de H.________ se soit améliorée. VI. L’arrêt est exécutoire. Le président : Le greffier : Du Le présent arrêt, dont la rédaction a été approuvée à huis clos, est notifié, par l'envoi d'une copie complète, à : - Me Dina Bazarbachi, avocate (pour H.________),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