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AM12.007586 vom 22. Mai 2013</w:t>
      </w:r>
    </w:p>
    <w:p>
      <w:r>
        <w:t>VD Tribunal cantonal, 2013-05-22, FR</w:t>
      </w:r>
    </w:p>
    <w:p>
      <w:r>
        <w:rPr>
          <w:b/>
        </w:rPr>
        <w:t xml:space="preserve">Quelle: </w:t>
      </w:r>
      <w:r>
        <w:t>https://mcp.opencaselaw.ch/entscheid/vd_gerichte_AM12.007586</w:t>
      </w:r>
    </w:p>
    <w:p>
      <w:r>
        <w:t>FR: VD_GERICHTE AM12.007586 du 22 mai 2013</w:t>
      </w:r>
    </w:p>
    <w:p>
      <w:r>
        <w:t>IT: VD_GERICHTE AM12.007586 del 22 maggio 2013</w:t>
      </w:r>
    </w:p>
    <w:p>
      <w:pPr>
        <w:pStyle w:val="Heading2"/>
      </w:pPr>
      <w:r>
        <w:t>Erwägungen</w:t>
      </w:r>
    </w:p>
    <w:p>
      <w:r>
        <w:rPr>
          <w:b/>
        </w:rPr>
        <w:t>E. 4</w:t>
      </w:r>
    </w:p>
    <w:p>
      <w:r>
        <w:t>L’appelant conteste sa condamnation pour violation grave des règles de la circulation routière. Il fait valoir que la faute qu'il a commise est légère et que seule l'infraction de violation simple des règles de la circulation peut être retenue à sa charge.</w:t>
      </w:r>
    </w:p>
    <w:p>
      <w:r>
        <w:rPr>
          <w:b/>
        </w:rPr>
        <w:t>E. 4.1</w:t>
      </w:r>
    </w:p>
    <w:p>
      <w:r>
        <w:t>Selon l'art. 90 LCR,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L'infraction réprimée par l'art. 90 ch. 2 LCR est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 qu'avec retenue (TF 6B_565/2010 du 21 octobre 2010 c. 3.1 et 3.2; ATF 131 IV 133 c. 3.2). La qualification de cas grave au sens de l'art. 90 ch. 2 LCR correspond à celle de l'art. 16c al. 1 let. a LCR (ATF 132 II 234 c. 3). Selon une jurisprudence constante, le seuil de gravité en matière d'infraction à la circulation routière (art. 90 ch. 2 LCR) est considéré comme atteint en cas de dépassement de la vitesse égal ou</w:t>
      </w:r>
    </w:p>
    <w:p>
      <w:r>
        <w:t>- 16 - supérieur à 35 km/h quand la vitesse est limitée à 120 km/h sur les autoroutes (TF 6B_568/2012 du 16 novembre 2012 c. 1.3; ATF 132 II 234 c. 3.2 p. 238; 124 II 259 c. 2b p. 261 ss; 123 II 106 c. 2c p. 113).</w:t>
      </w:r>
    </w:p>
    <w:p>
      <w:r>
        <w:rPr>
          <w:b/>
        </w:rPr>
        <w:t>E. 4.2</w:t>
      </w:r>
    </w:p>
    <w:p>
      <w:r>
        <w:t>Au vu de l'état de fait retenu par le premier juge et par la Cour de céans, l'infraction de violation grave des règles de la circulation au sens de l'art. 90 ch. 2 LCR est objectivement réalisée. En effet, l’appelant a manifestement dépassé la vitesse maximale autorisée de plus de 35 km/heure. Partant, la condamnation pour violation grave des règles de la circulation routière doit être confirmée.</w:t>
      </w:r>
    </w:p>
    <w:p>
      <w:r>
        <w:rPr>
          <w:b/>
        </w:rPr>
        <w:t>E. 5</w:t>
      </w:r>
    </w:p>
    <w:p>
      <w:r>
        <w:t>L’appelant se plaint de la quotité de la peine infligée.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w:t>
      </w:r>
    </w:p>
    <w:p>
      <w:r>
        <w:t>- 17 - même que le comportement après l’acte et au cours de la procédure pénale (ATF 134 IV 17 c. 2.1 p. 19 s.; 129 IV 6 c. 6.1 p. 20).</w:t>
      </w:r>
    </w:p>
    <w:p>
      <w:r>
        <w:rPr>
          <w:b/>
        </w:rPr>
        <w:t>E. 5.2</w:t>
      </w:r>
    </w:p>
    <w:p>
      <w:r>
        <w:t>L’appelant s’est rendu coupable de violation grave des règles de la circulation routière. Sa culpabilité est importante. Il n’a pas hésité à mettre en danger la sécurité d’autrui en roulant à une vitesse largement supérieure à la vitesse maximale prescrite, quand bien même son interpellation s’est produite de nuit à un moment où il y avait peu de trafic. Même si la vitesse du véhicule de l’appelant n’a pas pu être mesurée avec exactitude, l’excès de vitesse doit être qualifié de massif. Il a fait preuve d’une attitude désinvolte face à ses actes, niant avoir roulé à une telle vitesse, dans l’objectif d’échapper à une lourde sanction. Enfin, bien que son casier judiciaire soit vierge, l’appelant a de nombreux antécédents judiciaires de mesures administratives en matière de circulation routière. Au regard de l’ensemble de ces éléments, la peine de soixante-deux jours-amende prononcée par le premier juge est adéquate et doit être confirmée. La valeur du jour-amende doit être fixée à 60 fr. pour tenir compte de la situation personnelle et économique du prévenu.</w:t>
      </w:r>
    </w:p>
    <w:p>
      <w:r>
        <w:rPr>
          <w:b/>
        </w:rPr>
        <w:t>E. 6</w:t>
      </w:r>
    </w:p>
    <w:p>
      <w:r>
        <w:t>L’appelant conteste le refus du sursis. Il explique qu’il a tiré la leçon de ses erreurs du passé et qu’il n’a plus commis d’excès de vitesse justifiant un retrait de permis de conduire depuis presque sept ans.</w:t>
      </w:r>
    </w:p>
    <w:p>
      <w:r>
        <w:rPr>
          <w:b/>
        </w:rPr>
        <w:t>E. 6.1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w:t>
      </w:r>
    </w:p>
    <w:p>
      <w:r>
        <w:t>- 18 - L’octroi du sursis peut également être refusé lorsque l’auteur a omis de réparer le dommage comme on pouvait raisonnement l’attendre de lui (al. 3). Le juge peut prononcer, en plus du sursis, une peine pécuniaire sans sursis ou amende selon l’art. 106 CP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5 c. 4.2.1; ATF 128 IV 193 c. 3a; 118 IV 9 c. 2b). Le sursis est désormais la règle dont on ne peut s’écarter qu’en présence d’un pronostic défavorable. Il prime en cas d’incertitude (cf. 134 IV 5 c. 4.2.2). L’art. 43 CP prévoit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w:t>
      </w:r>
    </w:p>
    <w:p>
      <w:r>
        <w:t>- 19 - sursis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1 c. 5.3.1 p. 10).</w:t>
      </w:r>
    </w:p>
    <w:p>
      <w:r>
        <w:rPr>
          <w:b/>
        </w:rPr>
        <w:t>E. 6.2</w:t>
      </w:r>
    </w:p>
    <w:p>
      <w:r>
        <w:t>B.________ a fait l’objet, entre 2003 et 2011, de trois avertissements pour excès de vitesse et de trois retraits de permis. Il a également suivi des cours d’éducation routière. Malgré toutes ces mesures administratives et les amendes les accompagnant, il a commis une violation crasse des règles de la circulation routière. Il a ergoté et n’a nullement pris conscience de ses fautes en banalisant son passé de conducteur. Au regard de ces éléments, le pronostic est défavorable. Seul le prononcé d'une peine ferme permettra de faire comprendre à l'appelant qu'aucune récidive en matière de circulation routière n’est tolérée.</w:t>
      </w:r>
    </w:p>
    <w:p>
      <w:r>
        <w:rPr>
          <w:b/>
        </w:rPr>
        <w:t>E. 7</w:t>
      </w:r>
    </w:p>
    <w:p>
      <w:r>
        <w:t>La condamnation pour violation grave des règles de la circulation routière étant confirmée, les conclusions de l’appelant tendant à l’allocation d’une indemnité au sens de l’art. 429 CPP et à la libération du paiement des frais de la cause sont sans objet.</w:t>
      </w:r>
    </w:p>
    <w:p>
      <w:r>
        <w:rPr>
          <w:b/>
        </w:rPr>
        <w:t>E. 8</w:t>
      </w:r>
    </w:p>
    <w:p>
      <w:r>
        <w:t>En définitive, l’appel formé par B.________ est rejeté et le jugement rendu le 22 mai 2013 par le Tribunal de police de l’arrondissement de l’Est vaudois est confirmé.</w:t>
      </w:r>
    </w:p>
    <w:p>
      <w:r>
        <w:rPr>
          <w:b/>
        </w:rPr>
        <w:t>E. 9</w:t>
      </w:r>
    </w:p>
    <w:p>
      <w:r>
        <w:t>Vu l'issue de la cause, les frais d'appel, par 1’720 fr. (art. 21 al. 1</w:t>
      </w:r>
    </w:p>
    <w:p>
      <w:r>
        <w:t>- 20 - et 2 TFJP [Tarif des frais judiciaires pénaux du 28 septembre 2010; RSV 312.03.1]), doivent être mis à la charge de B.________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