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AM12.005748 vom 23. Januar 2014</w:t>
      </w:r>
    </w:p>
    <w:p>
      <w:r>
        <w:t>VD Tribunal cantonal, 2014-01-23, FR</w:t>
      </w:r>
    </w:p>
    <w:p>
      <w:r>
        <w:rPr>
          <w:b/>
        </w:rPr>
        <w:t xml:space="preserve">Quelle: </w:t>
      </w:r>
      <w:r>
        <w:t>https://mcp.opencaselaw.ch/entscheid/vd_gerichte_AM12.005748</w:t>
      </w:r>
    </w:p>
    <w:p>
      <w:r>
        <w:t>FR: VD_GERICHTE AM12.005748 du 23 janvier 2014</w:t>
      </w:r>
    </w:p>
    <w:p>
      <w:r>
        <w:t>IT: VD_GERICHTE AM12.005748 del 23 gennaio 2014</w:t>
      </w:r>
    </w:p>
    <w:p>
      <w:pPr>
        <w:pStyle w:val="Heading2"/>
      </w:pPr>
      <w:r>
        <w:t>Erwägungen</w:t>
      </w:r>
    </w:p>
    <w:p>
      <w:r>
        <w:rPr>
          <w:b/>
        </w:rPr>
        <w:t>E. 4</w:t>
      </w:r>
    </w:p>
    <w:p>
      <w:r>
        <w:t>L'appelant soutient que le Tribunal de police, qui se serait fondé uniquement sur le témoignage de L.C.________, ne disposait pas de la base factuelle nécessaire pour considérer qu'il était le conducteur du véhicule au moment des faits. En le condamnant, il aurait ainsi violé le principe "in dubio pro reo".</w:t>
      </w:r>
    </w:p>
    <w:p>
      <w:r>
        <w:rPr>
          <w:b/>
        </w:rPr>
        <w:t>E. 4.1.1</w:t>
      </w:r>
    </w:p>
    <w:p>
      <w:r>
        <w:t>Le Tribunal fédéral a eu l'occasion de rappeler les principes applicables lorsque le détenteur d'un véhicule conteste en avoir été le conducteur (TF 6B_562/2010 du 28 octobre 2010 c. 2, publié au JT 2010 I 567). La présomption d'innocence, garantie par l'art. 32 al. 1 Cst., l'art. 6 § 2 CEDH et l'art. 14 al. 2 Pacte ONU II, porte sur la répartition du fardeau de la preuve dans le procès pénal, d'une part, et sur la constatation des faits et l'appréciation des preuves, d'autre part. En tant que règle sur le fardeau de la preuve, elle signifie, au stade du jugement, que le fardeau de la</w:t>
      </w:r>
    </w:p>
    <w:p>
      <w:r>
        <w:t>- 13 -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(ATF 124 IV 86 c. 2a; ATF 120 Ia 31 c. 2c). Dans cette mesure, elle se confond avec l'interdiction générale de l'arbitraire, prohibant une appréciation reposant sur des preuves inadéquates ou sans pertinence (ATF 124 IV 86 c. 2a; ATF 120 Ia 31 c. 2). 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(ATF 106 IV 142 c. 3; ATF 105 Ib 116 c. 1 en matière de retrait du permis de conduire).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 3). Il ne suffit pas au détenteur d'invoquer le droit au silence ou le droit de ne pas s'auto-incriminer pour échapper à une sanction lorsque sa culpabilité n'est pas douteuse (TF 6B_562/2010 du 28 octobre 2010 c. 2.1.1 et les références citées). Lorsque l'accusé fait des déclarations contradictoires, il ne peut invoquer la présomption d'innocence pour contester les conclusions défavorables que le juge a, le</w:t>
      </w:r>
    </w:p>
    <w:p>
      <w:r>
        <w:t>- 14 - cas échéant, tirées de ses déclarations (TF 1P.428/2003 du 8 avril 2004 c. 4.6). Selon certains auteurs, le droit de se taire et de ne pas témoigner contre soi-même - droit consacré en termes explicites à l'art. 14 ch. 3 let. g Pacte ONU II - découle directement de la présomption d'innocence (TF 6B_562/2010 du 28 octobre 2010 c. 2.1.1 et les références citées). La Cour européenne des droits de l'homme considère, elle, que ce droit fait partie des normes internationales généralement reconnues qui se trouvent au coeur de la notion de procès équitable, selon l'art. 6 par. 1 CEDH (cf. ATF 131 IV 36 c. 3.1; ATF 130 I 126 c. 2.1 et les références citées).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6B_562/2010 du 28 octobre 2010 c. 2.1.1 et les références citées).</w:t>
      </w:r>
    </w:p>
    <w:p>
      <w:r>
        <w:rPr>
          <w:b/>
        </w:rPr>
        <w:t>E. 4.1.2</w:t>
      </w:r>
    </w:p>
    <w:p>
      <w:r>
        <w:t>Le prévenu n'a pas l'obligation de déposer contre lui-même. Il a notamment le droit de refuser de déposer et de refuser de collaborer à la procédure (art. 113 al. 1 CPP).</w:t>
      </w:r>
    </w:p>
    <w:p>
      <w:r>
        <w:t>- 15 - Selon l'art. 168 al. 1 CPP, peuvent notamment refuser de témoigner l'époux du prévenu ou la personne qui mène de fait une vie de couple avec lui (let. a), la personne qui a des enfants communs avec le prévenu (let. b), les parents et alliés du prévenu en ligne directe (let. c), ainsi que les frères et soeurs ainsi que les demi-frères et soeurs du prévenu, de même que leur époux (let. d). Il s'agit d'éviter, pour ces personnes, de devoir choisir entre contribuer activement à ce qu'un proche soit confondu ou effectuer un faux témoignage au sens de l'art. 307 CP. Le droit de refuser de témoigner en raison de relations personnelles, qui s'inscrit dans le prolongement du droit du prévenu de ne pas témoigner contre lui-même (art. 113 al. 1 CPP), apparaît donc comme un moyen de protéger la paix familiale, ainsi que les domaines privé et secret de la famille (cf. Werly in Kuhn/Jeanneret (éd.), Commentaire romand, Code de procédure pénale suisse, Bâle 2011, n. 6 ad art. 168).</w:t>
      </w:r>
    </w:p>
    <w:p>
      <w:r>
        <w:rPr>
          <w:b/>
        </w:rPr>
        <w:t>E. 4.2.1</w:t>
      </w:r>
    </w:p>
    <w:p>
      <w:r>
        <w:t>En l'espèce, il est constant que l'infraction a été commise sur la route Lausanne – Berne, en direction de Berne, par le conducteur du véhicule Opel Insigna dont D.C.________, père de l'appelant, était alors le détenteur.</w:t>
      </w:r>
    </w:p>
    <w:p>
      <w:r>
        <w:rPr>
          <w:b/>
        </w:rPr>
        <w:t>E. 4.2.2</w:t>
      </w:r>
    </w:p>
    <w:p>
      <w:r>
        <w:t>Il existe suffisamment d'éléments pour se convaincre que c'est bien l'appelant qui était au volant et qui a commis l'infraction en cause. A titre liminaire, il y a lieu de relever que lorsqu'ils ont été entendus par la police, les différents membres de la famille C.________ n'ont pas seulement refusé de répondre aux questions susceptibles de les incriminer personnellement ou d'incriminer un autre membre de la famille, mais ils ont également refusé de fournir les explications les plus simples qui leur étaient demandées, y compris s'agissant des éléments permettant de les exculper. S'agissant tout d'abord du cercle des suspects, l'appelant et son père D.C.________ ont refusé de communiquer les noms d'éventuelles tierces personnes qui auraient pu emprunter la voiture en cause (PV aud. 1, réponse 10; PV aud. 2, réponse 13). Force est cependant de constater</w:t>
      </w:r>
    </w:p>
    <w:p>
      <w:r>
        <w:t>- 16 - qu'aucun indice ne permet de supposer que le soir en question, la voiture aurait pu être empruntée par une personne qui ne serait pas membre de la famille C.________, de sorte que seuls l'appelant, ses parents D.C.________ et S.C.________ ou éventuellement son frère R.C.________ entrent en considération comme pouvant être le conducteur du véhicule en infraction. Certains indices tendent à écarter certaines de ces personnes. Ainsi, aussi bien D.C.________ que R.C.________ ont par exemple exclu que ce soit S.C.________ qui se trouvait au volant ce soir-là (PV aud. 2, réponse 30; PV aud. 2, réponse 32). Quant à R.C.________, aucun indice concret ne permet de supposer qu'il était le conducteur, étant rappelé qu'il n'habite pas à la même adresse que les trois autres personnes et qu'il a indiqué qu'il se servait habituellement de la voiture de son épouse. Enfin, c'est le seul à avoir donné des indications sur son emploi du temps le soir en question, puisqu'il a déclaré que lui et son épouse, malades, avaient gardé le lit. D'autres indices incriminent au contraire fortement l'appelant. On rappelle en premier lieu qu'il a été retenu que c'était bien ce dernier qui était le conducteur principal de l'Opel Insignia. Ensuite, seul l'appelant a des relations avec la Suisse romande. S'il est vrai que le témoignage de L.C.________ a été apprécié avec une certaine réserve sur ce point, il n'en demeure pas moins que l'existence même de ces relations a été reconnue (cf. c. 3.3 ci-dessus). A l'inverse, aucun élément au dossier ne donne à penser qu'un autre membre de la famille C.________ aurait la moindre relation avec la Suisse romande (cf. spéc. PV aud. 5, réponses 29 et 30). Enfin, l'appelant s'est montré particulièrement inconstant dans ses déclarations. Entendu une première fois par la police, il a refusé de dire s'il connaissait des personnes dans le canton de Vaud et a refusé de dire où il se trouvait le soir en question, tout en niant être le conducteur (PV aud. 1, réponses 4, 15 et 18). Lorsque la même question lui a été posée une semaine plus tard lors d'un second interrogatoire policier, il s'est borné à refuser de répondre (PV aud. 6). Enfin, lorsqu'il a été entendu une troisième fois, par le Ministère public en novembre 2012, il a soutenu qu'il</w:t>
      </w:r>
    </w:p>
    <w:p>
      <w:r>
        <w:t>- 17 - avait refusé de s'exprimer devant les policiers zurichois parce qu'au vu du temps écoulé entre l'excès de vitesse et son audition par la police, il ne savait plus s'il était le conducteur fautif (PV aud. 7, lignes 44 à 46). Or la première audition policière s'était déroulée seulement vingt-deux jours après les faits, si bien que, s’agissant d’un excès de vitesse commis à un endroit où tous les intéressés contestent se rendre, sauf pour l’appelant qui a admis se rendre en Suisse romande une ou deux fois par année, cette déclaration n'est pas crédible. L'appelant a ajouté qu'il pensait toujours ne pas être le conducteur fautif, mais qu'il ne pouvait pas être catégorique (PV aud. 7, lignes 46 et 47). Confronté à cette contradiction par le Ministère public, le prévenu n'a pas été en mesure de fournir une explication (ibidem). De façon générale, le déroulement de l'audition devant le Ministère public suggère que l'appelant tentait non pas de se rappeler s'il était ou non le conducteur fautif, mais bien quelles étaient les explications qu'il avait initialement données à la police. Quoi qu'il en soit, en optant ainsi successivement pour trois stratégies de défense différentes, l'appelant a ôté toute crédibilité à ses déclarations.</w:t>
      </w:r>
    </w:p>
    <w:p>
      <w:r>
        <w:rPr>
          <w:b/>
        </w:rPr>
        <w:t>E. 4.2.3</w:t>
      </w:r>
    </w:p>
    <w:p>
      <w:r>
        <w:t>Au vu de l'ensemble des éléments à disposition, à savoir le fait que K.C.________ est l'utilisateur principal du véhicule en cause, le fait qu'à l'issue de l'instruction, il apparaît comme le seul membre de la famille à avoir des liens avec la Suisse romande et le fait qu'il a multiplié les contradictions lors de ses interrogatoires successifs, aucun doute ne subsiste aux yeux de la Cour de céans, qui est convaincue de la culpabilité de l'appelant.</w:t>
      </w:r>
    </w:p>
    <w:p>
      <w:r>
        <w:rPr>
          <w:b/>
        </w:rPr>
        <w:t>E. 5</w:t>
      </w:r>
    </w:p>
    <w:p>
      <w:r>
        <w:t>La qualification juridique des faits n'est pas litigieuse en tant que telle et la Cour de céans peut se borner à confirmer que l'infraction de violation grave de la LCR est réalisée, dès lors que celui qui dépasse de 30 km/h ou plus la vitesse maximale générale de 80 km/h autorisée hors des localités tombe sous le coup de l’art. 90 ch. 2 LCR, indépendamment des circonstances concrètes du cas particulier (ATF132 II 234 c. 3.1; ATF 124 II 259 c. 2c; TF 6B_3/2014 du 28 avril 2014 c. 1.1).</w:t>
      </w:r>
    </w:p>
    <w:p>
      <w:r>
        <w:t>- 18 -</w:t>
      </w:r>
    </w:p>
    <w:p>
      <w:r>
        <w:rPr>
          <w:b/>
        </w:rPr>
        <w:t>E. 6</w:t>
      </w:r>
    </w:p>
    <w:p>
      <w:r>
        <w:t>L'appelant, qui a conclu à son acquittement, ne conteste pas la peine en tant que telle. Ce point doit toutefois être examiné d'office.</w:t>
      </w:r>
    </w:p>
    <w:p>
      <w:r>
        <w:rPr>
          <w:b/>
        </w:rPr>
        <w:t>E. 6.1</w:t>
      </w:r>
    </w:p>
    <w:p>
      <w:r>
        <w:t>Les règles générales régissant la fixation de la peine ont été rappelées par le Tribunal fédéral dans des arrêts publiés (cf. spéc. ATF 136 IV 55; ATF 134 IV 17 c. 2.1 et les références citées), auxquels il peut être renvoyé. Lorsqu'il prononce une peine assortie du sursis, le juge peut prononcer, en plus du sursis, une peine pécuniaire sans sursis ou une amende selon l'art. 106 (art. 42 al. 4 CP). Dans ce contexte, au plan quantitatif, la sanction ferme doit, toutefois, demeurer secondaire par rapport à la peine pécuniaire principale soumise au sursis, dont elle n'est que l'accessoire. Le juge ne peut donc pas, par ce biais, contourner le principe de l'octroi du sursis à la peine pécuniaire. Selon la jurisprudence, sous réserve d'exceptions non pertinentes en l'espèce, ces exigences ne sont pas respectées lorsque la peine pécuniaire ferme excède dans sa quotité un cinquième de la sanction globale, respectivement un quart de la peine conditionnée au sursis (ATF 135 IV 188 c. 3.4.4; ATF 134 IV 1 c. 7.3; TF 6B_614/2012 du 15 février 2013 c. 6.2).</w:t>
      </w:r>
    </w:p>
    <w:p>
      <w:r>
        <w:rPr>
          <w:b/>
        </w:rPr>
        <w:t>E. 6.2</w:t>
      </w:r>
    </w:p>
    <w:p>
      <w:r>
        <w:t>En l’occurrence, il n'y a pas lieu de revenir sur l'appréciation du Tribunal de police quant à la peine principale, qui est adéquate. En revanche, la sanction immédiate prononcée n'est pas conforme à la jurisprudence précitée et elle doit être d'office ramenée à une amende de 250 francs, la peine privative de liberté de substitution en cas de non paiement fautif (art. 106 al. 2 CP) étant fixée à 2 jours.</w:t>
      </w:r>
    </w:p>
    <w:p>
      <w:r>
        <w:rPr>
          <w:b/>
        </w:rPr>
        <w:t>E. 7</w:t>
      </w:r>
    </w:p>
    <w:p>
      <w:r>
        <w:t>Au vu de ce qui précède, l’appel du prévenu doit être rejeté et le jugement entrepris intégralement confirmé sous réserve du point devant être modifié d'office (c. 6.2 ci-dessus). Vu l’issue de la cause, les frais de la procédure d'appel, constitués uniquement de l'émolument de jugement, par 1'720 fr. (art. 21 al. 1 et 2 TFIP [Tarif des frais de procédure et indemnités en matière</w:t>
      </w:r>
    </w:p>
    <w:p>
      <w:r>
        <w:t>- 19 - pénale du 28 septembre 2010;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