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AJ23.038125 vom 21. November 2023</w:t>
      </w:r>
    </w:p>
    <w:p>
      <w:r>
        <w:t>VD Tribunal cantonal, 2023-11-21, FR</w:t>
      </w:r>
    </w:p>
    <w:p>
      <w:r>
        <w:rPr>
          <w:b/>
        </w:rPr>
        <w:t xml:space="preserve">Quelle: </w:t>
      </w:r>
      <w:r>
        <w:t>https://mcp.opencaselaw.ch/entscheid/vd_gerichte_AJ23.038125</w:t>
      </w:r>
    </w:p>
    <w:p>
      <w:r>
        <w:t>FR: VD_GERICHTE AJ23.038125 du 21 novembre 2023</w:t>
      </w:r>
    </w:p>
    <w:p>
      <w:r>
        <w:t>IT: VD_GERICHTE AJ23.038125 del 21 novembre 2023</w:t>
      </w:r>
    </w:p>
    <w:p>
      <w:pPr>
        <w:pStyle w:val="Heading2"/>
      </w:pPr>
      <w:r>
        <w:t>Erwägungen</w:t>
      </w:r>
    </w:p>
    <w:p>
      <w:r>
        <w:rPr>
          <w:b/>
        </w:rPr>
        <w:t>E. 1</w:t>
      </w:r>
    </w:p>
    <w:p>
      <w:r>
        <w:t>Par décision du 6 novembre 2023, le Président du Tribunal civil de l’arrondissement de la Broye et du Nord vaudois (ci-après : le président) a arrêté l’indemnité finale de conseil d’office allouée à l’avocat F.________ à 1'424 fr. 85, débours et TVA compris, l’a relevé de sa mission de conseil d’office de L.________ et a dit que la bénéficiaire de l’assistance judiciaire était tenue au remboursement de l’indemnité de son conseil d’office laissée provisoirement à la charge de l’Etat, dès qu’elle serait en mesure de le faire. En droit, le premier juge a considéré que la durée consacrée par le conseil d’office, par 7 heures, était admissible. Partant, il a arrêté l’indemnité de Me F.________ à 1'424 fr. 85, correspondant à 1'260 fr. (7 heures x 180) compte tenu d’un tarif horaire de 180 fr. pour l’avocat d’office, aux débours équivalant à 5 % du défraiement hors taxe (63 fr. [5 % x 1'260]) et à la TVA sur le tout par 101 fr. 85 (7,7 % x [1'260 + 63]).</w:t>
      </w:r>
    </w:p>
    <w:p>
      <w:r>
        <w:rPr>
          <w:b/>
        </w:rPr>
        <w:t>E. 2</w:t>
      </w:r>
    </w:p>
    <w:p>
      <w:r>
        <w:t>Par acte du 14 novembre 2023, L.________ (ci-après : la recourante) a interjeté recours contre la décision précitée, en concluant à ce que les honoraires de son conseil d’office F.________ « soient revus et au possible rectifiés ». Elle se plaint d’une procédure « lente et peu fructueuse », en ajoutant que « tous les mails échangés ainsi que les téléphones passés ont conduit à un maigre dossier qui a été transmis à [sa] nouvelle avocate ».</w:t>
      </w:r>
    </w:p>
    <w:p>
      <w:r>
        <w:rPr>
          <w:b/>
        </w:rPr>
        <w:t>E. 3.1.1</w:t>
      </w:r>
    </w:p>
    <w:p>
      <w:r>
        <w:t>Pour être recevable, le recours doit être motivé (art. 321 al. 1 in initio CPC). La motivation du recours doit, à tout le moins, satisfaire aux exigences qui sont posées pour un mémoire d’appel (ATF 147 III 176 consid. 4.2.1). Il incombe ainsi au recourant de s’en prendre à la</w:t>
      </w:r>
    </w:p>
    <w:p>
      <w:r>
        <w:t>- 3 -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6B_170/2023 du 13 avril 2023 consid. 3 ;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w:t>
      </w:r>
    </w:p>
    <w:p>
      <w:r>
        <w:rPr>
          <w:b/>
        </w:rPr>
        <w:t>E. 3.1.2</w:t>
      </w:r>
    </w:p>
    <w:p>
      <w:r>
        <w:t>En outre, le recours doit contenir, sous peine d'irrecevabilité, des conclusions, en annulation ou au fond, soit ce que la partie veut que le tribunal lui alloue dans sa décision (CREC 9 novembre 2022/257).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 Jeandin, Commentaire romand, Code de procédure civile, 2e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cf. aussi TF 5A_65/2022 du 16 janvier 2023 consid. 3.3.1 ; TF 4A_274/2020 du 1er septembre 2020 consid. 4 ; CREC 1er février 2023).</w:t>
      </w:r>
    </w:p>
    <w:p>
      <w:r>
        <w:rPr>
          <w:b/>
        </w:rPr>
        <w:t>E. 3.1.3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w:t>
      </w:r>
    </w:p>
    <w:p>
      <w:r>
        <w:t>- 4 - TF 5A_368/2018 du 25 avril 2019 consid. 4.3.4 et les réf. citées ; CREC 25 octobre 2023/216).</w:t>
      </w:r>
    </w:p>
    <w:p>
      <w:r>
        <w:rPr>
          <w:b/>
        </w:rPr>
        <w:t>E. 3.2</w:t>
      </w:r>
    </w:p>
    <w:p>
      <w:r>
        <w:t>En l'espèce, la recourante se plaint certes du montant alloué à son conseil d’office, elle ne prend toutefois aucune conclusion chiffrée et la lecture de l’acte de recours ne permet pas de déterminer le montant de l’indemnité requise. La motivation de l’acte du recours est de surcroît insuffisante. La recourante se contente de critiques toutes générales portant sur la lenteur de la procédure et la maigreur du dossier, alors que ces éléments ne concernent pas les opérations du conseil d’office. Partant, faute de conclusions et de motivation suffisantes, ce qui constitue un vice irréparable, il ne peut être entré en matière sur ce recours.</w:t>
      </w:r>
    </w:p>
    <w:p>
      <w:r>
        <w:rPr>
          <w:b/>
        </w:rPr>
        <w:t>E. 4</w:t>
      </w:r>
    </w:p>
    <w:p>
      <w:r>
        <w:t>Il s’ensuit que le recours doit être déclaré irrecevable en application de l’art. 322 al. 1 in fine CPC et la décision attaquée confirmée. Le présent arrêt peut être rendu sans frais judiciaires de deuxième instance (art. 11 TFJC [tarif des frais judiciaires civils du 28 septembre 2010 ; BLV 270.11.5]). Il n’y a pas lieu à l’allocation de dépens de deuxième instance dès lors que l'intimé n’a pas été invité à déposer une réponse.</w:t>
      </w:r>
    </w:p>
    <w:p>
      <w:r>
        <w:t>- 5 - Par ces motifs, la Chambre des recours civile du Tribunal cantonal, en application de l'art. 322 al. 1 CPC, prononce : I. Le recours est irrecevable. III. L’arrêt, rendu sans frais, est exécutoire. La présidente : La greffière : Du L'arrêt qui précède, dont la rédaction a été approuvée à huis clos, est notifié à : - Mme L.________ (personnellement),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