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AJ15.004833 vom 29. November 2016</w:t>
      </w:r>
    </w:p>
    <w:p>
      <w:r>
        <w:t>VD Tribunal cantonal, 2016-11-29, FR</w:t>
      </w:r>
    </w:p>
    <w:p>
      <w:r>
        <w:rPr>
          <w:b/>
        </w:rPr>
        <w:t xml:space="preserve">Quelle: </w:t>
      </w:r>
      <w:r>
        <w:t>https://mcp.opencaselaw.ch/entscheid/vd_gerichte_AJ15.004833</w:t>
      </w:r>
    </w:p>
    <w:p>
      <w:r>
        <w:t>FR: VD_GERICHTE AJ15.004833 du 29 novembre 2016</w:t>
      </w:r>
    </w:p>
    <w:p>
      <w:r>
        <w:t>IT: VD_GERICHTE AJ15.004833 del 29 novembre 2016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octobre 2016, 27.10 heures. Selon cette liste, il avait notamment consacré six heures à la rédaction de la requête de levée de curatelle et s’était entretenu à neuf reprises avec Z.________, respectivement l’OCTP,</w:t>
      </w:r>
    </w:p>
    <w:p>
      <w:r>
        <w:t>- 5 - durant 10.50 heures. Il précisait enfin que ses débours, incluant la TVA, s’élevaient à 24 fr. 85. En d roit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