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AJ14.045679 vom 30. Mai 2016</w:t>
      </w:r>
    </w:p>
    <w:p>
      <w:r>
        <w:t>VD Tribunal cantonal, 2016-05-30, FR</w:t>
      </w:r>
    </w:p>
    <w:p>
      <w:r>
        <w:rPr>
          <w:b/>
        </w:rPr>
        <w:t xml:space="preserve">Quelle: </w:t>
      </w:r>
      <w:r>
        <w:t>https://mcp.opencaselaw.ch/entscheid/vd_gerichte_AJ14.045679</w:t>
      </w:r>
    </w:p>
    <w:p>
      <w:r>
        <w:t>FR: VD_GERICHTE AJ14.045679 du 30 mai 2016</w:t>
      </w:r>
    </w:p>
    <w:p>
      <w:r>
        <w:t>IT: VD_GERICHTE AJ14.045679 del 30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21 juillet 2014, H.________ a sollicité la levée de la mesure de curatelle de portée générale dont elle faisait l’objet. Le 22 octobre 2014, elle a déposé une demande d’assistance judiciaire dans la cause la concernant, avec effet rétroactif au 3 octobre 2014. Par décision du 14 novembre 2014, la juge de paix a accordé à H.________ le bénéfice de l’assistance judiciaire avec effet au 22 octobre 2014, dans la mesure suivante : exonération d’avances et des frais judiciaires ainsi qu’assistance d’office d’un avocat en la personne de Me N.________. Me [...], avocat-stagiaire en l’étude de Me N.________, a assisté sa cliente à l’audience du 20 novembre 2014, puis à celle du 30 juillet 2015, à l’issue de laquelle la justice de paix a chargé le juge d’ouvrir une enquête en levée, respectivement en adaptation de la mesure de curatelle de portée générale instituée en faveur de H.________.</w:t>
      </w:r>
    </w:p>
    <w:p>
      <w:r>
        <w:rPr>
          <w:b/>
        </w:rPr>
        <w:t>E. 2</w:t>
      </w:r>
    </w:p>
    <w:p>
      <w:r>
        <w:t>Par lettre du 11 mars 2016, Me [...] a écrit à la Justice de paix du district de Lausanne (ci-après : justice de paix) qu’il venait d’être consulté par H.________, qui l’avait chargé de la défense de ses intérêts concernant sa procédure de curatelle. Par courrier à la justice de paix du 31 mars 2016, faisant valoir que H.________ souhaitait désormais faire appel aux services de Me [...], Me N.________ a demandé à être relevé de sa mission de conseil d’office de la personne concernée, partant de l’idée le conseil précité serait désigné pour lui succéder. A toutes fins utiles, il remettait à l’autorité de protection, en vue de la fixation de son indemnité de défenseur d’office, la liste de ses opérations dans laquelle il indiquait avoir consacré au dossier, du 3 octobre 2014 au 30 mars 2016, 50.15 heures, dont 0.40 effectuées par lui-même et 49.75 heures par [...] et [...], avocats-stagiaires en son étude. Selon cette liste, entre le 22 octobre 2014 et le 21 mars 2016, H.________ avait téléphoné à l’étude de Me N.________ soixante-cinq fois, plusieurs fois par semaine, voire par jour, représentant 20.25 unités horaires, et dix entretiens avaient eu lieu à l’étude (12.9 unités horaires) ;</w:t>
      </w:r>
    </w:p>
    <w:p>
      <w:r>
        <w:t>- 4 - la fille de la personne concernée avait téléphoné deux fois et une vingtaine de courriers et courriels avaient été rédigés, respectivement étudiés. Me N.________ précisait enfin que les débours pouvaient être fixés forfaitairement.</w:t>
      </w:r>
    </w:p>
    <w:p>
      <w:r>
        <w:rPr>
          <w:b/>
        </w:rPr>
        <w:t>E. 3</w:t>
      </w:r>
    </w:p>
    <w:p>
      <w:r>
        <w:t>Le 5 avril 2016, la juge de paix a écrit à Me [...] qu’elle avait pris note du fait que Me N.________ avait renoncé à son mandat de conseil d’office de H.________ et qu’il le remplaçait.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