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AJ14.000049 vom 13. Februar 2014</w:t>
      </w:r>
    </w:p>
    <w:p>
      <w:r>
        <w:t>VD Tribunal cantonal, 2014-02-13, FR</w:t>
      </w:r>
    </w:p>
    <w:p>
      <w:r>
        <w:rPr>
          <w:b/>
        </w:rPr>
        <w:t xml:space="preserve">Quelle: </w:t>
      </w:r>
      <w:r>
        <w:t>https://mcp.opencaselaw.ch/entscheid/vd_gerichte_AJ14.000049</w:t>
      </w:r>
    </w:p>
    <w:p>
      <w:r>
        <w:t>FR: VD_GERICHTE AJ14.000049 du 13 février 2014</w:t>
      </w:r>
    </w:p>
    <w:p>
      <w:r>
        <w:t>IT: VD_GERICHTE AJ14.000049 del 13 febbraio 2014</w:t>
      </w:r>
    </w:p>
    <w:p>
      <w:pPr>
        <w:pStyle w:val="Heading2"/>
      </w:pPr>
      <w:r>
        <w:t>Erwägungen</w:t>
      </w:r>
    </w:p>
    <w:p>
      <w:r>
        <w:rPr>
          <w:b/>
        </w:rPr>
        <w:t>E. 1</w:t>
      </w:r>
    </w:p>
    <w:p>
      <w:r>
        <w:t>Par jugement du 30 mai 2011, le Tribunal civil de l’arrondissement de La Côte a notamment prononcé le divorce des époux T.________ et N.________, attribué l’autorité parentale et la garde sur l’enfant [...], né le [...] 2006, à sa mère N.________ réglé le droit de visite à exercer par T.________ et dit que T.________ contribuera à l’entretien de l’enfant [...] par le régulier versement d’une pension, payable d’avance le</w:t>
      </w:r>
    </w:p>
    <w:p>
      <w:r>
        <w:t>- 3 - premier de chaque mois en mains de N.________, éventuelles allocations familiales non comprises et dues en sus, dès jugement définitif et exécutoire, de : 900 fr. jusqu’à ce que l’enfant ait atteint l’âge de six ans révolus, 1'000 fr. depuis lors et jusqu’à ce que l’enfant ait atteint l’âge de douze ans révolus, 1'100 fr. depuis lors et jusqu’à ce que l’enfant ait atteint l’âge de quinze ans révolus et 1'200 fr. depuis lors et jusqu’à la majorité de l’enfant ou jusqu’à ce que ce dernier ait achevé une formation appropriée, dans les limites de l’art. 277 al. 2 CC (Code civil suisse du 10 décembre 1907; RS 210). De nombreuses décisions avaient été rendues préalablement au dépôt de la demande en divorce, notamment en ce qui concerne la garde et le droit de visite sur l'enfant. Le 27 novembre 2012, la Cour d’appel civile du Tribunal cantonal a rejeté l’appel formé par T.________ contre le jugement du 30 mai 2011 (CACI 27 novembre 2012/556). Par arrêt du 25 septembre 2013, le Tribunal fédéral a rejeté le recours de T.________ contre l’arrêt de la Cour d’appel civile (TF 5A_196/2013).</w:t>
      </w:r>
    </w:p>
    <w:p>
      <w:r>
        <w:rPr>
          <w:b/>
        </w:rPr>
        <w:t>E. 2</w:t>
      </w:r>
    </w:p>
    <w:p>
      <w:r>
        <w:t>Le recours peut être formé pour violation du droit et constatation manifestement inexacte des faits (art. 320 CPC). L'autorité de recours dispose d'un plein pouvoir d'examen s'agissant de la violation du droit (Spühler, in Basler Kommentar, Schweizerische Zivilprozess-ordnung, 2e éd., Bâle 2013, n. 26 ad art. 319 CPC). Elle revoit librement les questions de droit soulevées par le recourant et peut substituer ses propres motifs à ceux de l'autorité précédente ou du recourant (HohI, Procédure civile, tome lI, 2e éd., Berne 2010, n. 2508). S'agissant de la constatation manifestement inexacte des faits, comme pour l'art. 97 al. 1 LTF (loi du 17 juin 2005 sur le Tribunal fédéral; RS 173.110), ce grief ne permet que de corriger une erreur évidente, la notion se recoupant en définitive avec l'appréciation arbitraire des</w:t>
      </w:r>
    </w:p>
    <w:p>
      <w:r>
        <w:t>- 5 -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(ATF 129 I 8 c. 2.1).</w:t>
      </w:r>
    </w:p>
    <w:p>
      <w:r>
        <w:rPr>
          <w:b/>
        </w:rPr>
        <w:t>E. 3</w:t>
      </w:r>
    </w:p>
    <w:p>
      <w:r>
        <w:t>a) Le recourant soutient que des « événements nouveaux et notables » ont eu lieu depuis la dernière décision où les faits ont été établis, soit l’arrêt de la Cour civile du Tribunal cantonal du 27 novembre 2012. Il expose être condamné à payer un entretien familial calculé sur un salaire hypothétique qu’il n’est pas en mesure de percevoir « dans un avenir proche ». b/aa) Aux termes de l’art. 117 CPC, une personne a droit à l’assistance judiciaire si elle ne dispose pas de ressources suffisantes (let. a) et si sa cause ne paraît pas dépourvue de toute chance de succès (let. b). Selon la jurisprudence, une procédure doit être tenue pour dépourvue de chances de succès si les chances de la gagner sont sensiblement inférieures aux risques de la perdre et ne peuvent guère être qualifiées de sérieuses, au point qu’une personne raisonnable et disposant des ressources nécessaires ne l’entreprendrait pas (ATF 138 III 217 c. 2.2.4 ; ATF 129 I 129 c. 2.3.1, JT 2005 IV 300). Selon Tappy, cette appréciation doit se faire sur la base des éléments pouvant être connus au moment d’examiner la requête d’assistance judiciaire (Tappy, CPC commenté, n. 31 ad art. 117 CPC, p. 474).</w:t>
      </w:r>
    </w:p>
    <w:p>
      <w:r>
        <w:t>- 6 - bb) En matière de contribution due pour l’entretien d’un enfant, l’art. 286 al. 2 CC (Code civil suisse du 10 décembre 1907; RS 210),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 4.1.1; 131 III 189 c. 2.7.4).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 4b; TF 5C.78/2001 du 24 août 2001 c. 2a, non publié dans l'ATF 127 III 503).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 4.1). c) En l’espèce, à l’appui de sa demande de modification de jugement de divorce du 10 novembre 2013, le recourant a invoqué ne pas être en mesure de réaliser le revenu hypothétique que lui a imputé le juge du divorce. A titre de moyens de preuve, il s’est contenté de renvoyer aux arguments développés dans les « requêtes pendantes devant le Tribunal d’arrondissement de La Côte depuis 2010 ». Ce faisant, il n’a fait état d’aucun élément nouveau important et durable qui justifierait la modification de la contribution d’entretien fixée dans le jugement de divorce du 30 mai 2011, confirmé par la Cour d’appel civile du Tribunal</w:t>
      </w:r>
    </w:p>
    <w:p>
      <w:r>
        <w:t>- 7 - cantonal le 27 novembre 2012 puis par le Tribunal fédéral le 25 septembre 2013. Dès lors, sa demande était manifestement vouée à l’échec, de sorte que c’est à juste titre que le premier juge a rejeté sa requête d’assistance judiciaire.</w:t>
      </w:r>
    </w:p>
    <w:p>
      <w:r>
        <w:rPr>
          <w:b/>
        </w:rPr>
        <w:t>E. 4</w:t>
      </w:r>
    </w:p>
    <w:p>
      <w:r>
        <w:t>Au vu de ce qui précède, le recours doit être rejeté, dans la procédure de l'art. 322 al. 1 CPC, et le prononcé entrepris confirmé. L’arrêt peut être rendu sans frais judiciaires de deuxième instance. La demande d'assistance judiciaire est dès lors sans objet. Il n'y a pas matière à l'allocation de dépens de deuxième instance, aucune réponse n’ayant été requise. Par ces motifs, la Chambre des recours civile du Tribunal cantonal, statuant à huis clos, en application de l'art. 322 al. 1 CPC, prononce : I. Le recours est rejeté. II. Le prononcé est confirmé. III. La requête d’assistance judiciaire est sans objet. IV. L’arrêt, rendu sans frais judiciaires, est exécutoire. Le président : La greffière :</w:t>
      </w:r>
    </w:p>
    <w:p>
      <w:r>
        <w:t>- 8 - Du L'arrêt qui précède, dont la rédaction a été approuvée à huis clos, est notifié en expédition complète, par l'envoi de photocopies, à : - M.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