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781 vom 27. Oktober 2009</w:t>
      </w:r>
    </w:p>
    <w:p>
      <w:r>
        <w:t>VD Tribunal cantonal, 2009-10-27, FR</w:t>
      </w:r>
    </w:p>
    <w:p>
      <w:r>
        <w:rPr>
          <w:b/>
        </w:rPr>
        <w:t xml:space="preserve">Quelle: </w:t>
      </w:r>
      <w:r>
        <w:t>https://mcp.opencaselaw.ch/entscheid/vd_gerichte_781</w:t>
      </w:r>
    </w:p>
    <w:p>
      <w:r>
        <w:t>FR: VD_GERICHTE 781 du 27 octobre 2009</w:t>
      </w:r>
    </w:p>
    <w:p>
      <w:r>
        <w:t>IT: VD_GERICHTE 781 del 27 ottobre 2009</w:t>
      </w:r>
    </w:p>
    <w:p>
      <w:pPr>
        <w:pStyle w:val="Heading2"/>
      </w:pPr>
      <w:r>
        <w:t>Volltext</w:t>
      </w:r>
    </w:p>
    <w:p>
      <w:r>
        <w:t>TRIBUNAL CANTONAL 781 TRIBUNAL D ’ACCUS ATION _________________________________ Séance du 1er décembre 2009 _______________________ Présidence de M. J.-F. MEYLAN, président Juges : MM. F. Meylan et Krieger Greffière : Mme Brabis ***** Art. 260, 294 let. f CPP Vu l'enquête n° PE07.026377-YGR instruite par le Juge d'instruction de l'arrondissement de La Côte contre J.________ pour abus de confiance, d'office et sur plainte d' G.________, vu l'ordonnance du 27 octobre 2009, par laquelle le magistrat instructeur a prononcé un non-lieu en faveur de J.________ et a laissé les frais à la charge de l'Etat, vu le recours exercé en temps utile par G.________ contre cette décision, vu le mémoire de J.________, vu les pièces du dossier; 301</w:t>
      </w:r>
    </w:p>
    <w:p>
      <w:r>
        <w:t>- 2 - attendu qu'G.________ a déposé plainte pénale le 27 novembre 2007 contre J.________, administrateur unique d'E.________SA, dont la faillite a été prononcée en février 2004 par le Tribunal d'arrondissement de La Côte, et actuel administrateur unique d'O.________SA (P. 4), qu'G.________ est, quant à lui, à la tête de la société V.________ Sàrl, à Marseille, que les parties, actives dans le même domaine au travers de leurs différentes sociétés, ont été en affaires pendant plusieurs années jusqu'en 2005 (PV aud. 1 et 3), que J.________, alors que sa société E.________SA était en faillite, a demandé à G.________ d'agir comme prête-nom en faisant, pour V.________ Sàrl, une offre à l'Office des faillites pour un lot de machines appartenant à E.________SA, afin d'inciter les créanciers principaux à surenchérir (PV aud. 1, p. 3), qu'G.________ a expliqué avoir accepté d'agir comme prête- nom en faisant pour V.________ Sàrl une offre à l'Office des faillites afin d'aider J.________ (PV aud. 3, p. 2), que le préposé de l'Office des faillites a informé J.________ du fait que l'offre devenait uniquement recevable au moment de la réception du paiement du montant proposé (PV aud. 1, p. 3), que J.________ a dès lors fait effectuer par O.________SA sous le nom de V.________ Sàrl un versement de 25'000 fr. à l'Office des faillites pour l'achat du matériel en question (PV aud. 1, p. 3; PV aud. 3, p. 2), qu'aucune surenchère n'étant parvenue à l'Office des faillites, le préposé a écrit à V.________ Sàrl afin de l'informer que le matériel lui avait été vendu et était à sa disposition (PV aud. 1, p. 4), qu'G.________, voulant acheter la marchandise vendue par l'Office des faillites, a affirmé avoir payé de la main à la main à J.________ la somme de 25'000 fr. (P. 4; PV aud. 3 , p. 2), qu'il reproche à J.________ d'avoir conservé le lot de machines en dépit de son paiement; attendu que le magistrat instructeur a prononcé un non-lieu en faveur de J.________, considérant que ce dernier avait le droit de disposer du lot de machines litigieux étant donné qu'il était établi que J.________</w:t>
      </w:r>
    </w:p>
    <w:p>
      <w:r>
        <w:t>- 3 - avait versé le montant de 25'000 fr. à l'Office des faillites, par sa société O.________SA, sous le nom de V.________ Sàrl, qu'G.________ conteste cette décision, qu'il conclut à l'annulation de l'ordonnance et au renvoi de la cause au Juge d'instruction afin qu'il procède à un complément d'enquête, puis rende une nouvelle décision; attendu que l'intimé, J.________, conteste la qualité de partie d'G.________ et, de ce fait, également la qualité pour recourir de ce dernier, qu'il considère qu'G.________ ne peut pas avoir la qualité de plaignant dans la présente procédure étant donné que celui-ci n'aurait pas été lésé directement par la prétendue infraction, mais qu'il s'agirait, au contraire, de sa société V.________ Sàrl, que, toutefois, l'intimé ne s'est pas opposé à l'admission d'G.________ comme plaignant en cours d'enquête, ce qu'il aurait pu faire (cf. art. 83 et 294 let. b CPP), qu'il n'appartient pas au Tribunal d'accusation de se prononcer à ce sujet, faute de décision expresse rendue sur ce point par le premier juge (cf. art. 294 let. b CPP); attendu que se rend coupable d'abus de confiance au sens de l'art. 138 ch. 1 al. 1 CP celui qui, pour se procurer ou procurer à un tiers un enrichissement illégitime, se sera approprié une chose mobilière appartenant à autrui et qui lui avait été confiée, que sur le plan objectif, cette infraction suppose la réalisation de trois conditions, à savoir l'existence d'une chose mobilière, que cette chose ait été confiée à l'auteur et que ce dernier se soit approprié la chose en violation du rapport de confiance (TF 6S.416/2004 du 20 janvier 2005 c. 2.1; Corboz, Les infractions en droit suisse, Vol. I, Berne 2002, pp. 224- 226), qu'une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(TF 6B_33/2008 du 12 juin 2008 c. 3.1; TF 6S.416/2004 du 20 janvier 2005 c. 2.1; ATF 120 IV 276 c. 2; Cass., F.M., 13 août 2007; Favre / Pellet /</w:t>
      </w:r>
    </w:p>
    <w:p>
      <w:r>
        <w:t>- 4 - Stoudmann, Code pénal annoté, Lausanne 2007, n. 1.2 ad art. 138 CP, p. 352), que l'auteur s'approprie une chose mobilière s'il l'incorpore économiquement à son patrimoine, que ce soit pour la conserver, l'utiliser ou l'aliéner, c'est-à-dire qu'il en dispose comme s'il en était le propriétaire (Corboz, op. cit., p. 226; TF 6S.416/2004 du 20 janvier 2005 c. 2.1; ATF 118 IV 148 c. 2a), qu'entendu sur ce qui lui était reproché, J.________ a contesté formellement avoir reçu la somme de 25'000 fr. de la part du plaignant (PV aud. 1, p. 4), que J.________ a affirmé qu'étant donné que c'était O.________SA qui avait payé 25'000 fr. à l'Office des faillites pour le lot de machines, il n'a pas disposé de façon litigieuse du matériel en question (ibidem), qu'il a produit un avis de la Banque [...] attestant d'un retrait du compte de la société O.________SA le 1er juillet 2004 d'un montant de 50'000 fr. (P. 10), qu'entendu en qualité de témoin, S.________, fiduciaire chargé de la révision pour O.________SA, a confirmé avoir eu en mains cette pièce et avoir écrit les annotations y figurant (PV aud. 2), qu'il a indiqué avoir écrit que le montant de 25'000 fr. correspondait au paiement d'une facture à la V.________ de la même somme (ibidem), qu'G.________ n'a pas contesté le fait que c'était la société O.________SA, sous le nom de V.________ Sàrl, qui a effectué le versement de 25'000 fr. à l'Office des faillites le 2 septembre 2004 (PV aud. 3, p. 2; P. 4/3), qu'G.________ a, toutefois, affirmé avoir remboursé ensuite la somme de 25'000 fr. au prévenu de la main à la main afin d'obtenir le matériel en question (PV aud. 3, p. 2), qu'G.________ a reconnu n'être en possession d'aucun document prouvant qu'il a remis à J.________ la somme de 25'000 fr. (ibidem, P. 20),</w:t>
      </w:r>
    </w:p>
    <w:p>
      <w:r>
        <w:t>- 5 - qu'il n'existe, par conséquent, aucun indice concret démontrant qu'G.________ aurait versé la somme de 25'000 fr. à J.________ et, de ce fait, que le lot de machines appartiendrait à G.________, qu'aucun élément ne permet ainsi d'établir que J.________ se serait approprié le lot de machines appartenant à G.________, que, partant, faute d'éléments suffisants, l'infraction d'abus de confiance ne peut pas être retenue à l'encontre de J.________, que c'est donc à juste titre que le magistrat instructeur a prononcé un non-lieu en faveur du prévenu;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550 fr. (cinq cent cinquante francs), sont mis à la charge d'G.________. IV. Déclare l'arrêt exécutoire. Le président : La greffière :</w:t>
      </w:r>
    </w:p>
    <w:p>
      <w:r>
        <w:t>- 6 - Du L'arrêt qui précède, dont la rédaction a été approuvée à huis clos, est notifié aux conseils des parties, ainsi qu’au Ministère public, par l'envoi d'une copie complète : - M. Eric Kaltenrieder, avocat (pour G.________), - M. Charles-Henri De Luze, avocat (pour 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